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74119A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21B092D9" w14:textId="1545F34E" w:rsidR="002924E3" w:rsidRPr="003B05E5" w:rsidRDefault="002924E3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765F87" w:rsidRPr="00765F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 33140000-3 : Медичні матеріали (Катетери сечовивідні 6Fr та 7Fr)</w:t>
            </w:r>
          </w:p>
          <w:p w14:paraId="4AB0717E" w14:textId="6DD9DB9C" w:rsidR="00EF2E87" w:rsidRPr="002004C3" w:rsidRDefault="00DC3943" w:rsidP="00BA477F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BA477F" w:rsidRPr="00BA477F">
                <w:rPr>
                  <w:rStyle w:val="ae"/>
                </w:rPr>
                <w:t>UA-2026-02-27-010772-a</w:t>
              </w:r>
            </w:hyperlink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7BA81564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65F87" w:rsidRPr="00765F87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9 469,50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503E"/>
    <w:rsid w:val="00847CFC"/>
    <w:rsid w:val="00867CFD"/>
    <w:rsid w:val="00892064"/>
    <w:rsid w:val="00895942"/>
    <w:rsid w:val="008E2F73"/>
    <w:rsid w:val="00904601"/>
    <w:rsid w:val="00915997"/>
    <w:rsid w:val="00930BF0"/>
    <w:rsid w:val="009B0A34"/>
    <w:rsid w:val="009B3264"/>
    <w:rsid w:val="009C360F"/>
    <w:rsid w:val="009D16AD"/>
    <w:rsid w:val="009D701F"/>
    <w:rsid w:val="009E60F9"/>
    <w:rsid w:val="009F1648"/>
    <w:rsid w:val="00A041FA"/>
    <w:rsid w:val="00A73F49"/>
    <w:rsid w:val="00A7670F"/>
    <w:rsid w:val="00AB56CF"/>
    <w:rsid w:val="00AD4798"/>
    <w:rsid w:val="00B01706"/>
    <w:rsid w:val="00B0415D"/>
    <w:rsid w:val="00B1226C"/>
    <w:rsid w:val="00B1648C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A181F"/>
    <w:rsid w:val="00EA7A94"/>
    <w:rsid w:val="00EE3B7E"/>
    <w:rsid w:val="00EF170E"/>
    <w:rsid w:val="00EF2E87"/>
    <w:rsid w:val="00F12B04"/>
    <w:rsid w:val="00F255B6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2-27-01077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1330</Characters>
  <Application>Microsoft Office Word</Application>
  <DocSecurity>0</DocSecurity>
  <Lines>39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2026-04-01T13:15:00Z</dcterms:created>
  <dcterms:modified xsi:type="dcterms:W3CDTF">2026-04-01T13:15:00Z</dcterms:modified>
</cp:coreProperties>
</file>