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2A88A" w14:textId="77777777" w:rsidR="00F3516D" w:rsidRDefault="00EC0DBE" w:rsidP="00AF2BD3">
      <w:pPr>
        <w:pBdr>
          <w:top w:val="nil"/>
          <w:left w:val="nil"/>
          <w:bottom w:val="nil"/>
          <w:right w:val="nil"/>
          <w:between w:val="nil"/>
        </w:pBdr>
        <w:jc w:val="center"/>
        <w:rPr>
          <w:b/>
          <w:bCs/>
          <w:color w:val="000000"/>
          <w:sz w:val="22"/>
          <w:szCs w:val="22"/>
          <w:lang w:val="uk-UA"/>
        </w:rPr>
      </w:pPr>
      <w:r w:rsidRPr="00670E41">
        <w:rPr>
          <w:b/>
          <w:bCs/>
          <w:color w:val="000000"/>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692EBE" w14:textId="77777777" w:rsidR="00670E41" w:rsidRPr="00670E41" w:rsidRDefault="00670E41" w:rsidP="00AF2BD3">
      <w:pPr>
        <w:pBdr>
          <w:top w:val="nil"/>
          <w:left w:val="nil"/>
          <w:bottom w:val="nil"/>
          <w:right w:val="nil"/>
          <w:between w:val="nil"/>
        </w:pBdr>
        <w:jc w:val="center"/>
        <w:rPr>
          <w:b/>
          <w:bCs/>
          <w:color w:val="000000"/>
          <w:sz w:val="22"/>
          <w:szCs w:val="22"/>
          <w:lang w:val="uk-UA"/>
        </w:rPr>
      </w:pPr>
    </w:p>
    <w:tbl>
      <w:tblPr>
        <w:tblStyle w:val="ab"/>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2142"/>
        <w:gridCol w:w="8227"/>
      </w:tblGrid>
      <w:tr w:rsidR="00F3516D" w:rsidRPr="00F13D50" w14:paraId="5FBE1DEA" w14:textId="77777777" w:rsidTr="00B51A37">
        <w:tc>
          <w:tcPr>
            <w:tcW w:w="405" w:type="dxa"/>
            <w:tcBorders>
              <w:top w:val="single" w:sz="4" w:space="0" w:color="000000"/>
              <w:left w:val="single" w:sz="4" w:space="0" w:color="000000"/>
              <w:bottom w:val="single" w:sz="4" w:space="0" w:color="000000"/>
              <w:right w:val="single" w:sz="4" w:space="0" w:color="000000"/>
            </w:tcBorders>
          </w:tcPr>
          <w:p w14:paraId="49387645" w14:textId="77777777" w:rsidR="00F3516D" w:rsidRPr="00EC0DBE" w:rsidRDefault="00EC0DBE" w:rsidP="00AF2BD3">
            <w:pPr>
              <w:pBdr>
                <w:top w:val="nil"/>
                <w:left w:val="nil"/>
                <w:bottom w:val="nil"/>
                <w:right w:val="nil"/>
                <w:between w:val="nil"/>
              </w:pBdr>
              <w:jc w:val="both"/>
              <w:rPr>
                <w:color w:val="000000"/>
                <w:sz w:val="22"/>
                <w:szCs w:val="22"/>
                <w:lang w:val="uk-UA"/>
              </w:rPr>
            </w:pPr>
            <w:r w:rsidRPr="00EC0DBE">
              <w:rPr>
                <w:color w:val="000000"/>
                <w:sz w:val="22"/>
                <w:szCs w:val="22"/>
                <w:lang w:val="uk-UA"/>
              </w:rPr>
              <w:t>1</w:t>
            </w:r>
          </w:p>
        </w:tc>
        <w:tc>
          <w:tcPr>
            <w:tcW w:w="2142" w:type="dxa"/>
            <w:tcBorders>
              <w:top w:val="single" w:sz="4" w:space="0" w:color="000000"/>
              <w:left w:val="single" w:sz="4" w:space="0" w:color="000000"/>
              <w:bottom w:val="single" w:sz="4" w:space="0" w:color="000000"/>
              <w:right w:val="single" w:sz="4" w:space="0" w:color="000000"/>
            </w:tcBorders>
          </w:tcPr>
          <w:p w14:paraId="161E217E" w14:textId="77777777" w:rsidR="00F3516D" w:rsidRPr="00EC0DBE" w:rsidRDefault="00EC0DBE" w:rsidP="00AF2BD3">
            <w:pPr>
              <w:pBdr>
                <w:top w:val="nil"/>
                <w:left w:val="nil"/>
                <w:bottom w:val="nil"/>
                <w:right w:val="nil"/>
                <w:between w:val="nil"/>
              </w:pBdr>
              <w:rPr>
                <w:color w:val="000000"/>
                <w:sz w:val="22"/>
                <w:szCs w:val="22"/>
                <w:lang w:val="uk-UA"/>
              </w:rPr>
            </w:pPr>
            <w:r w:rsidRPr="00EC0DBE">
              <w:rPr>
                <w:color w:val="000000"/>
                <w:sz w:val="22"/>
                <w:szCs w:val="22"/>
                <w:lang w:val="uk-UA"/>
              </w:rPr>
              <w:t>Назва предмета закупівлі згідно класифікатора, код ДК 021:2015</w:t>
            </w:r>
          </w:p>
        </w:tc>
        <w:tc>
          <w:tcPr>
            <w:tcW w:w="8227" w:type="dxa"/>
            <w:tcBorders>
              <w:top w:val="single" w:sz="4" w:space="0" w:color="000000"/>
              <w:left w:val="single" w:sz="4" w:space="0" w:color="000000"/>
              <w:bottom w:val="single" w:sz="4" w:space="0" w:color="000000"/>
              <w:right w:val="single" w:sz="4" w:space="0" w:color="000000"/>
            </w:tcBorders>
          </w:tcPr>
          <w:p w14:paraId="0A061587" w14:textId="5D701FD4" w:rsidR="00F3516D" w:rsidRDefault="00E5657A" w:rsidP="00AF2BD3">
            <w:pPr>
              <w:pBdr>
                <w:top w:val="nil"/>
                <w:left w:val="nil"/>
                <w:bottom w:val="nil"/>
                <w:right w:val="nil"/>
                <w:between w:val="nil"/>
              </w:pBdr>
              <w:jc w:val="both"/>
              <w:rPr>
                <w:color w:val="000000"/>
                <w:sz w:val="22"/>
                <w:szCs w:val="22"/>
                <w:lang w:val="uk-UA"/>
              </w:rPr>
            </w:pPr>
            <w:r w:rsidRPr="00E5657A">
              <w:rPr>
                <w:color w:val="000000"/>
                <w:sz w:val="22"/>
                <w:szCs w:val="22"/>
                <w:lang w:val="uk-UA"/>
              </w:rPr>
              <w:t>Закупівля послуги з видалення небезпечних медичних та інших небезпечних відходів (18 02 02* (D15, D10), 18 01 08* (D15, D10), 16 12 46* (D15, D10), 20 01 21*(D15, D9)), з наданням відповідного пакування визначеної за кодом ДК 021:2015: 90520000-8 «Послуги у сфері поводження з радіоактивними, токсичними, медичними та небезпечними відходами»</w:t>
            </w:r>
            <w:r w:rsidR="00EC0DBE" w:rsidRPr="00B53A08">
              <w:rPr>
                <w:color w:val="000000"/>
                <w:sz w:val="22"/>
                <w:szCs w:val="22"/>
                <w:lang w:val="uk-UA"/>
              </w:rPr>
              <w:t xml:space="preserve"> </w:t>
            </w:r>
          </w:p>
          <w:p w14:paraId="1CF78BE2" w14:textId="5D418E9D" w:rsidR="00B53A08" w:rsidRPr="00B53A08" w:rsidRDefault="00B53A08" w:rsidP="00AF2BD3">
            <w:pPr>
              <w:pBdr>
                <w:top w:val="nil"/>
                <w:left w:val="nil"/>
                <w:bottom w:val="nil"/>
                <w:right w:val="nil"/>
                <w:between w:val="nil"/>
              </w:pBdr>
              <w:jc w:val="both"/>
              <w:rPr>
                <w:color w:val="000000"/>
                <w:sz w:val="22"/>
                <w:szCs w:val="22"/>
                <w:lang w:val="uk-UA"/>
              </w:rPr>
            </w:pPr>
            <w:r w:rsidRPr="00B53A08">
              <w:rPr>
                <w:color w:val="000000"/>
                <w:sz w:val="22"/>
                <w:szCs w:val="22"/>
                <w:lang w:val="uk-UA"/>
              </w:rPr>
              <w:t>Ідентифікатор закупівлі:</w:t>
            </w:r>
            <w:r>
              <w:rPr>
                <w:color w:val="000000"/>
                <w:sz w:val="22"/>
                <w:szCs w:val="22"/>
                <w:lang w:val="uk-UA"/>
              </w:rPr>
              <w:t xml:space="preserve"> </w:t>
            </w:r>
            <w:hyperlink r:id="rId6" w:history="1">
              <w:r w:rsidR="00F13D50" w:rsidRPr="00494259">
                <w:rPr>
                  <w:rStyle w:val="ac"/>
                </w:rPr>
                <w:t>UA</w:t>
              </w:r>
              <w:r w:rsidR="00F13D50" w:rsidRPr="00F13D50">
                <w:rPr>
                  <w:rStyle w:val="ac"/>
                  <w:lang w:val="ru-RU"/>
                </w:rPr>
                <w:t>-2024-12-20-004634-</w:t>
              </w:r>
              <w:r w:rsidR="00F13D50" w:rsidRPr="00494259">
                <w:rPr>
                  <w:rStyle w:val="ac"/>
                </w:rPr>
                <w:t>a</w:t>
              </w:r>
            </w:hyperlink>
            <w:r w:rsidR="00F13D50" w:rsidRPr="00F13D50">
              <w:rPr>
                <w:lang w:val="ru-RU"/>
              </w:rPr>
              <w:t xml:space="preserve"> </w:t>
            </w:r>
            <w:r>
              <w:rPr>
                <w:color w:val="000000"/>
                <w:sz w:val="22"/>
                <w:szCs w:val="22"/>
                <w:lang w:val="uk-UA"/>
              </w:rPr>
              <w:t xml:space="preserve"> </w:t>
            </w:r>
          </w:p>
        </w:tc>
      </w:tr>
      <w:tr w:rsidR="00F3516D" w:rsidRPr="00E5657A" w14:paraId="54ACAB80" w14:textId="77777777" w:rsidTr="00B51A37">
        <w:trPr>
          <w:trHeight w:val="537"/>
        </w:trPr>
        <w:tc>
          <w:tcPr>
            <w:tcW w:w="405" w:type="dxa"/>
            <w:tcBorders>
              <w:top w:val="single" w:sz="4" w:space="0" w:color="000000"/>
              <w:left w:val="single" w:sz="4" w:space="0" w:color="000000"/>
              <w:bottom w:val="single" w:sz="4" w:space="0" w:color="000000"/>
              <w:right w:val="single" w:sz="4" w:space="0" w:color="000000"/>
            </w:tcBorders>
          </w:tcPr>
          <w:p w14:paraId="1B8E786C" w14:textId="77777777" w:rsidR="00F3516D" w:rsidRPr="00EC0DBE" w:rsidRDefault="00EC0DBE" w:rsidP="00AF2BD3">
            <w:pPr>
              <w:pBdr>
                <w:top w:val="nil"/>
                <w:left w:val="nil"/>
                <w:bottom w:val="nil"/>
                <w:right w:val="nil"/>
                <w:between w:val="nil"/>
              </w:pBdr>
              <w:jc w:val="both"/>
              <w:rPr>
                <w:color w:val="000000"/>
                <w:sz w:val="22"/>
                <w:szCs w:val="22"/>
                <w:lang w:val="uk-UA"/>
              </w:rPr>
            </w:pPr>
            <w:r w:rsidRPr="00EC0DBE">
              <w:rPr>
                <w:color w:val="000000"/>
                <w:sz w:val="22"/>
                <w:szCs w:val="22"/>
                <w:lang w:val="uk-UA"/>
              </w:rPr>
              <w:t>2</w:t>
            </w:r>
          </w:p>
        </w:tc>
        <w:tc>
          <w:tcPr>
            <w:tcW w:w="2142" w:type="dxa"/>
            <w:tcBorders>
              <w:top w:val="single" w:sz="4" w:space="0" w:color="000000"/>
              <w:left w:val="single" w:sz="4" w:space="0" w:color="000000"/>
              <w:bottom w:val="single" w:sz="4" w:space="0" w:color="000000"/>
              <w:right w:val="single" w:sz="4" w:space="0" w:color="000000"/>
            </w:tcBorders>
          </w:tcPr>
          <w:p w14:paraId="43AE759D" w14:textId="77777777" w:rsidR="00F3516D" w:rsidRPr="00EC0DBE" w:rsidRDefault="00EC0DBE" w:rsidP="00AF2BD3">
            <w:pPr>
              <w:pBdr>
                <w:top w:val="nil"/>
                <w:left w:val="nil"/>
                <w:bottom w:val="nil"/>
                <w:right w:val="nil"/>
                <w:between w:val="nil"/>
              </w:pBdr>
              <w:rPr>
                <w:color w:val="000000"/>
                <w:sz w:val="22"/>
                <w:szCs w:val="22"/>
                <w:lang w:val="uk-UA"/>
              </w:rPr>
            </w:pPr>
            <w:r w:rsidRPr="00EC0DBE">
              <w:rPr>
                <w:color w:val="000000"/>
                <w:sz w:val="22"/>
                <w:szCs w:val="22"/>
                <w:lang w:val="uk-UA"/>
              </w:rPr>
              <w:t>Обґрунтування технічних та якісних характеристик предмета закупівлі</w:t>
            </w:r>
          </w:p>
        </w:tc>
        <w:tc>
          <w:tcPr>
            <w:tcW w:w="8227" w:type="dxa"/>
            <w:tcBorders>
              <w:top w:val="single" w:sz="4" w:space="0" w:color="000000"/>
              <w:left w:val="single" w:sz="4" w:space="0" w:color="000000"/>
              <w:bottom w:val="single" w:sz="4" w:space="0" w:color="000000"/>
              <w:right w:val="single" w:sz="4" w:space="0" w:color="000000"/>
            </w:tcBorders>
          </w:tcPr>
          <w:p w14:paraId="16E2F296" w14:textId="605E8450" w:rsidR="00F3516D" w:rsidRPr="00B51A37" w:rsidRDefault="00ED4C78" w:rsidP="00AF2BD3">
            <w:pPr>
              <w:pBdr>
                <w:top w:val="nil"/>
                <w:left w:val="nil"/>
                <w:bottom w:val="nil"/>
                <w:right w:val="nil"/>
                <w:between w:val="nil"/>
              </w:pBdr>
              <w:tabs>
                <w:tab w:val="left" w:pos="319"/>
              </w:tabs>
              <w:jc w:val="both"/>
              <w:rPr>
                <w:rFonts w:ascii="Calibri" w:eastAsia="Calibri" w:hAnsi="Calibri" w:cs="Calibri"/>
                <w:color w:val="000000"/>
                <w:lang w:val="uk-UA"/>
              </w:rPr>
            </w:pPr>
            <w:r w:rsidRPr="00B51A37">
              <w:rPr>
                <w:color w:val="000000"/>
                <w:lang w:val="uk-UA"/>
              </w:rPr>
              <w:t>Закупівля здійснюється для забезпечення життєдіяльності підприємства. Технічні та якісні характеристики предмета закупівлі визначені відповідно до потреб замовника на 2024</w:t>
            </w:r>
            <w:r w:rsidR="00F13D50" w:rsidRPr="00B51A37">
              <w:rPr>
                <w:color w:val="000000"/>
                <w:lang w:val="uk-UA"/>
              </w:rPr>
              <w:t xml:space="preserve"> -2025</w:t>
            </w:r>
            <w:r w:rsidRPr="00B51A37">
              <w:rPr>
                <w:color w:val="000000"/>
                <w:lang w:val="uk-UA"/>
              </w:rPr>
              <w:t xml:space="preserve"> р</w:t>
            </w:r>
            <w:r w:rsidR="00F13D50" w:rsidRPr="00B51A37">
              <w:rPr>
                <w:color w:val="000000"/>
                <w:lang w:val="uk-UA"/>
              </w:rPr>
              <w:t>оки</w:t>
            </w:r>
            <w:r w:rsidRPr="00B51A37">
              <w:rPr>
                <w:color w:val="000000"/>
                <w:lang w:val="uk-UA"/>
              </w:rPr>
              <w:t xml:space="preserve"> </w:t>
            </w:r>
            <w:r w:rsidR="00EC0DBE" w:rsidRPr="00B51A37">
              <w:rPr>
                <w:color w:val="000000"/>
                <w:lang w:val="uk-UA"/>
              </w:rPr>
              <w:t>Технічні та якісні характеристики предмета закупівлі визначенні відповідно Технічного завдання та Технічної специфікації.</w:t>
            </w:r>
          </w:p>
          <w:p w14:paraId="60C4C1F8" w14:textId="77777777" w:rsidR="00F13D50" w:rsidRPr="00B51A37" w:rsidRDefault="00F13D50" w:rsidP="00AF2BD3">
            <w:pPr>
              <w:pBdr>
                <w:top w:val="nil"/>
                <w:left w:val="nil"/>
                <w:bottom w:val="nil"/>
                <w:right w:val="nil"/>
                <w:between w:val="nil"/>
              </w:pBdr>
              <w:jc w:val="both"/>
              <w:rPr>
                <w:color w:val="000000"/>
                <w:lang w:val="uk-UA"/>
              </w:rPr>
            </w:pPr>
            <w:r w:rsidRPr="00B51A37">
              <w:rPr>
                <w:color w:val="000000"/>
                <w:lang w:val="uk-UA"/>
              </w:rPr>
              <w:t xml:space="preserve">Закупівля послуги з видалення небезпечних медичних та інших небезпечних відходів (18 02 02* (D15, D10), 18 01 08* (D15, D10), 16 12 46* (D15, D10), 20 01 21*(D15, D9)), з наданням відповідного пакування визначеної за кодом ДК 021:2015: 90520000-8 «Послуги у сфері поводження з радіоактивними, токсичними, медичними та небезпечними відходами» </w:t>
            </w:r>
          </w:p>
          <w:p w14:paraId="50E4BE4A" w14:textId="06679D5D" w:rsidR="00AF2BD3" w:rsidRPr="00B51A37" w:rsidRDefault="00AF2BD3" w:rsidP="00AF2BD3">
            <w:pPr>
              <w:pBdr>
                <w:top w:val="nil"/>
                <w:left w:val="nil"/>
                <w:bottom w:val="nil"/>
                <w:right w:val="nil"/>
                <w:between w:val="nil"/>
              </w:pBdr>
              <w:jc w:val="both"/>
              <w:rPr>
                <w:color w:val="000000"/>
                <w:lang w:val="uk-UA"/>
              </w:rPr>
            </w:pPr>
            <w:r w:rsidRPr="00B51A37">
              <w:rPr>
                <w:rFonts w:asciiTheme="majorBidi" w:hAnsiTheme="majorBidi" w:cstheme="majorBidi"/>
                <w:lang w:val="uk-UA"/>
              </w:rPr>
              <w:t>Технічні та якісні характеристики предмета закупівлі визначені відповідно до потреб замовника на 2024 – 2025 роки та затверджені на засіданні РГ – Протокол № 21 від 11.12.2024</w:t>
            </w:r>
          </w:p>
          <w:p w14:paraId="01D2FACE" w14:textId="77777777" w:rsidR="00674D13" w:rsidRPr="00674D13" w:rsidRDefault="00674D13" w:rsidP="00AF2BD3">
            <w:pPr>
              <w:pBdr>
                <w:top w:val="nil"/>
                <w:left w:val="nil"/>
                <w:bottom w:val="nil"/>
                <w:right w:val="nil"/>
                <w:between w:val="nil"/>
              </w:pBdr>
              <w:jc w:val="both"/>
              <w:rPr>
                <w:b/>
                <w:color w:val="000000"/>
                <w:sz w:val="16"/>
                <w:szCs w:val="16"/>
                <w:lang w:val="uk-UA"/>
              </w:rPr>
            </w:pPr>
            <w:r w:rsidRPr="00674D13">
              <w:rPr>
                <w:b/>
                <w:color w:val="000000"/>
                <w:sz w:val="16"/>
                <w:szCs w:val="16"/>
                <w:lang w:val="uk-UA"/>
              </w:rPr>
              <w:t>Вимоги до учасника:</w:t>
            </w:r>
          </w:p>
          <w:p w14:paraId="15EC5C5F" w14:textId="77777777" w:rsidR="00674D13" w:rsidRPr="00674D13" w:rsidRDefault="00674D13" w:rsidP="00AF2BD3">
            <w:pPr>
              <w:pBdr>
                <w:top w:val="nil"/>
                <w:left w:val="nil"/>
                <w:bottom w:val="nil"/>
                <w:right w:val="nil"/>
                <w:between w:val="nil"/>
              </w:pBdr>
              <w:jc w:val="both"/>
              <w:rPr>
                <w:i/>
                <w:iCs/>
                <w:color w:val="000000"/>
                <w:sz w:val="16"/>
                <w:szCs w:val="16"/>
                <w:lang w:val="uk-UA"/>
              </w:rPr>
            </w:pPr>
            <w:r w:rsidRPr="00674D13">
              <w:rPr>
                <w:color w:val="000000"/>
                <w:sz w:val="16"/>
                <w:szCs w:val="16"/>
                <w:lang w:val="uk-UA"/>
              </w:rPr>
              <w:t xml:space="preserve">1. Учасник бере на себе зобов’язання своєчасно за графіком вивозити відходи з території Замовника </w:t>
            </w:r>
            <w:r w:rsidRPr="00674D13">
              <w:rPr>
                <w:i/>
                <w:iCs/>
                <w:color w:val="000000"/>
                <w:sz w:val="16"/>
                <w:szCs w:val="16"/>
                <w:lang w:val="uk-UA"/>
              </w:rPr>
              <w:t>(надати Гарантійний лист).</w:t>
            </w:r>
          </w:p>
          <w:p w14:paraId="27A07072" w14:textId="77777777" w:rsidR="00674D13" w:rsidRPr="00674D13" w:rsidRDefault="00674D13" w:rsidP="00AF2BD3">
            <w:pPr>
              <w:pBdr>
                <w:top w:val="nil"/>
                <w:left w:val="nil"/>
                <w:bottom w:val="nil"/>
                <w:right w:val="nil"/>
                <w:between w:val="nil"/>
              </w:pBdr>
              <w:jc w:val="both"/>
              <w:rPr>
                <w:i/>
                <w:iCs/>
                <w:color w:val="000000"/>
                <w:sz w:val="16"/>
                <w:szCs w:val="16"/>
                <w:lang w:val="uk-UA"/>
              </w:rPr>
            </w:pPr>
            <w:r w:rsidRPr="00674D13">
              <w:rPr>
                <w:color w:val="000000"/>
                <w:sz w:val="16"/>
                <w:szCs w:val="16"/>
                <w:lang w:val="uk-UA"/>
              </w:rPr>
              <w:t xml:space="preserve">2. Учасник бере на себе зобов’язання здійснювати вивезення відходів транспортним засобом, вказаним у пропозиції Учасника, який має всі дозвільні документи згідно з чинним законодавством та кваліфікованим водієм </w:t>
            </w:r>
            <w:r w:rsidRPr="00674D13">
              <w:rPr>
                <w:i/>
                <w:iCs/>
                <w:color w:val="000000"/>
                <w:sz w:val="16"/>
                <w:szCs w:val="16"/>
                <w:lang w:val="uk-UA"/>
              </w:rPr>
              <w:t>(надати Гарантійний лист).</w:t>
            </w:r>
          </w:p>
          <w:p w14:paraId="51069E47" w14:textId="77777777" w:rsidR="00674D13" w:rsidRPr="00674D13" w:rsidRDefault="00674D13" w:rsidP="00AF2BD3">
            <w:pPr>
              <w:pBdr>
                <w:top w:val="nil"/>
                <w:left w:val="nil"/>
                <w:bottom w:val="nil"/>
                <w:right w:val="nil"/>
                <w:between w:val="nil"/>
              </w:pBdr>
              <w:jc w:val="both"/>
              <w:rPr>
                <w:i/>
                <w:iCs/>
                <w:color w:val="000000"/>
                <w:sz w:val="16"/>
                <w:szCs w:val="16"/>
                <w:lang w:val="uk-UA"/>
              </w:rPr>
            </w:pPr>
            <w:r w:rsidRPr="00674D13">
              <w:rPr>
                <w:color w:val="000000"/>
                <w:sz w:val="16"/>
                <w:szCs w:val="16"/>
                <w:lang w:val="uk-UA"/>
              </w:rPr>
              <w:t xml:space="preserve">3. Учасник бере на себе зобов’язання власними силами здійснювати завантаження медичних відходів у спеціалізований автотранспорт. Транспортні витрати входять до вартості послуг </w:t>
            </w:r>
            <w:r w:rsidRPr="00674D13">
              <w:rPr>
                <w:i/>
                <w:iCs/>
                <w:color w:val="000000"/>
                <w:sz w:val="16"/>
                <w:szCs w:val="16"/>
                <w:lang w:val="uk-UA"/>
              </w:rPr>
              <w:t>(надати Гарантійний лист у довільній формі).</w:t>
            </w:r>
          </w:p>
          <w:p w14:paraId="05F2F3F8" w14:textId="77777777" w:rsidR="00674D13" w:rsidRPr="00674D13" w:rsidRDefault="00674D13" w:rsidP="00AF2BD3">
            <w:pPr>
              <w:pBdr>
                <w:top w:val="nil"/>
                <w:left w:val="nil"/>
                <w:bottom w:val="nil"/>
                <w:right w:val="nil"/>
                <w:between w:val="nil"/>
              </w:pBdr>
              <w:jc w:val="both"/>
              <w:rPr>
                <w:i/>
                <w:iCs/>
                <w:color w:val="000000"/>
                <w:sz w:val="16"/>
                <w:szCs w:val="16"/>
                <w:lang w:val="uk-UA"/>
              </w:rPr>
            </w:pPr>
            <w:r w:rsidRPr="00674D13">
              <w:rPr>
                <w:color w:val="000000"/>
                <w:sz w:val="16"/>
                <w:szCs w:val="16"/>
                <w:lang w:val="uk-UA"/>
              </w:rPr>
              <w:t xml:space="preserve">4. Учасник підтверджує, що пропоновані ним товари, послуги чи роботи за своїми екологічними чи іншими характеристиками відповідають вимогам, установленим у тендерній документації. </w:t>
            </w:r>
            <w:r w:rsidRPr="00674D13">
              <w:rPr>
                <w:i/>
                <w:iCs/>
                <w:color w:val="000000"/>
                <w:sz w:val="16"/>
                <w:szCs w:val="16"/>
                <w:lang w:val="uk-UA"/>
              </w:rPr>
              <w:t>(надати гарантійний лист).</w:t>
            </w:r>
          </w:p>
          <w:p w14:paraId="54863354" w14:textId="77777777" w:rsidR="00674D13" w:rsidRPr="00674D13" w:rsidRDefault="00674D13" w:rsidP="00AF2BD3">
            <w:p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5. Учасник бере на себе зобов’язання забезпечити Замовника первинним та вторинним пакуванням. Вимоги до пакування: </w:t>
            </w:r>
          </w:p>
          <w:p w14:paraId="3B6C0D3C" w14:textId="77777777" w:rsidR="00674D13" w:rsidRPr="00674D13" w:rsidRDefault="00674D13" w:rsidP="00AF2BD3">
            <w:pPr>
              <w:numPr>
                <w:ilvl w:val="0"/>
                <w:numId w:val="4"/>
              </w:num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первинне пакування - це контейнери, стійкі до проколів, для збирання медичних відходів категорії В,С із маркуванням та відповідають Технічному регламенту з підтвердження відповідності пакування (пакувальних матеріалів) та відходів </w:t>
            </w:r>
            <w:proofErr w:type="spellStart"/>
            <w:r w:rsidRPr="00674D13">
              <w:rPr>
                <w:color w:val="000000"/>
                <w:sz w:val="16"/>
                <w:szCs w:val="16"/>
                <w:lang w:val="uk-UA"/>
              </w:rPr>
              <w:t>паковання</w:t>
            </w:r>
            <w:proofErr w:type="spellEnd"/>
            <w:r w:rsidRPr="00674D13">
              <w:rPr>
                <w:color w:val="000000"/>
                <w:sz w:val="16"/>
                <w:szCs w:val="16"/>
                <w:lang w:val="uk-UA"/>
              </w:rPr>
              <w:t xml:space="preserve">, затвердженому наказом Державного комітету України з питань технічного регулювання та споживчої політики від 24.12.2004 № 289 , </w:t>
            </w:r>
          </w:p>
          <w:p w14:paraId="3B4489F8" w14:textId="77777777" w:rsidR="00674D13" w:rsidRPr="00674D13" w:rsidRDefault="00674D13" w:rsidP="00AF2BD3">
            <w:pPr>
              <w:numPr>
                <w:ilvl w:val="0"/>
                <w:numId w:val="4"/>
              </w:num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вторинне пакування - це спеціальні міцні непроникні поліетиленові одноразові мішки/пакети для збирання медичних відходів категорії В, С з маркуванням та відповідають Технічному регламенту з підтвердження відповідності пакування (пакувальних матеріалів) та відходів </w:t>
            </w:r>
            <w:proofErr w:type="spellStart"/>
            <w:r w:rsidRPr="00674D13">
              <w:rPr>
                <w:color w:val="000000"/>
                <w:sz w:val="16"/>
                <w:szCs w:val="16"/>
                <w:lang w:val="uk-UA"/>
              </w:rPr>
              <w:t>паковання</w:t>
            </w:r>
            <w:proofErr w:type="spellEnd"/>
            <w:r w:rsidRPr="00674D13">
              <w:rPr>
                <w:color w:val="000000"/>
                <w:sz w:val="16"/>
                <w:szCs w:val="16"/>
                <w:lang w:val="uk-UA"/>
              </w:rPr>
              <w:t>, затвердженому наказом Державного комітету України з питань технічного регулювання та споживчої політики від 24.12.2004 № 289:</w:t>
            </w:r>
          </w:p>
          <w:p w14:paraId="4F6DBA65" w14:textId="77777777" w:rsidR="00674D13" w:rsidRPr="00674D13" w:rsidRDefault="00674D13" w:rsidP="00AF2BD3">
            <w:pPr>
              <w:numPr>
                <w:ilvl w:val="0"/>
                <w:numId w:val="3"/>
              </w:num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для підтвердження надати у складі пропозиції: </w:t>
            </w:r>
            <w:r w:rsidRPr="00674D13">
              <w:rPr>
                <w:b/>
                <w:bCs/>
                <w:i/>
                <w:iCs/>
                <w:color w:val="000000"/>
                <w:sz w:val="16"/>
                <w:szCs w:val="16"/>
                <w:lang w:val="uk-UA"/>
              </w:rPr>
              <w:t>Декларації постачальника(</w:t>
            </w:r>
            <w:proofErr w:type="spellStart"/>
            <w:r w:rsidRPr="00674D13">
              <w:rPr>
                <w:b/>
                <w:bCs/>
                <w:i/>
                <w:iCs/>
                <w:color w:val="000000"/>
                <w:sz w:val="16"/>
                <w:szCs w:val="16"/>
                <w:lang w:val="uk-UA"/>
              </w:rPr>
              <w:t>ів</w:t>
            </w:r>
            <w:proofErr w:type="spellEnd"/>
            <w:r w:rsidRPr="00674D13">
              <w:rPr>
                <w:b/>
                <w:bCs/>
                <w:i/>
                <w:iCs/>
                <w:color w:val="000000"/>
                <w:sz w:val="16"/>
                <w:szCs w:val="16"/>
                <w:lang w:val="uk-UA"/>
              </w:rPr>
              <w:t>) про відповідність з підтвердженням вищезазначених вимог до пакування, видаткову(і) накладну(і) на пакування (тару), зазначену в Деклараціях постачальника(</w:t>
            </w:r>
            <w:proofErr w:type="spellStart"/>
            <w:r w:rsidRPr="00674D13">
              <w:rPr>
                <w:b/>
                <w:bCs/>
                <w:i/>
                <w:iCs/>
                <w:color w:val="000000"/>
                <w:sz w:val="16"/>
                <w:szCs w:val="16"/>
                <w:lang w:val="uk-UA"/>
              </w:rPr>
              <w:t>ів</w:t>
            </w:r>
            <w:proofErr w:type="spellEnd"/>
            <w:r w:rsidRPr="00674D13">
              <w:rPr>
                <w:b/>
                <w:bCs/>
                <w:i/>
                <w:iCs/>
                <w:color w:val="000000"/>
                <w:sz w:val="16"/>
                <w:szCs w:val="16"/>
                <w:lang w:val="uk-UA"/>
              </w:rPr>
              <w:t>) про відповідність</w:t>
            </w:r>
            <w:r w:rsidRPr="00674D13">
              <w:rPr>
                <w:color w:val="000000"/>
                <w:sz w:val="16"/>
                <w:szCs w:val="16"/>
                <w:lang w:val="uk-UA"/>
              </w:rPr>
              <w:t>.</w:t>
            </w:r>
          </w:p>
          <w:p w14:paraId="3F94A396" w14:textId="77777777" w:rsidR="00674D13" w:rsidRPr="00674D13" w:rsidRDefault="00674D13" w:rsidP="00AF2BD3">
            <w:p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6. Учасник у складі пропозиції повинен надати: </w:t>
            </w:r>
          </w:p>
          <w:p w14:paraId="445484BD" w14:textId="77777777" w:rsidR="00674D13" w:rsidRPr="00674D13" w:rsidRDefault="00674D13" w:rsidP="00AF2BD3">
            <w:pPr>
              <w:numPr>
                <w:ilvl w:val="0"/>
                <w:numId w:val="3"/>
              </w:numPr>
              <w:pBdr>
                <w:top w:val="nil"/>
                <w:left w:val="nil"/>
                <w:bottom w:val="nil"/>
                <w:right w:val="nil"/>
                <w:between w:val="nil"/>
              </w:pBdr>
              <w:jc w:val="both"/>
              <w:rPr>
                <w:b/>
                <w:bCs/>
                <w:i/>
                <w:iCs/>
                <w:color w:val="000000"/>
                <w:sz w:val="16"/>
                <w:szCs w:val="16"/>
                <w:lang w:val="uk-UA"/>
              </w:rPr>
            </w:pPr>
            <w:r w:rsidRPr="00674D13">
              <w:rPr>
                <w:b/>
                <w:bCs/>
                <w:i/>
                <w:iCs/>
                <w:color w:val="000000"/>
                <w:sz w:val="16"/>
                <w:szCs w:val="16"/>
                <w:lang w:val="uk-UA"/>
              </w:rPr>
              <w:t>Наказ про видачу учаснику або субпідряднику (у разі залучення) ліцензії на право провадження господарської діяльності з управління небезпечними відходами разом з додатком до такого наказу із зазначенням кодів відходів відповідно до Національного переліку відходів, додаток до наказу повинен містити коди відходів та перелік операцій з ними зазначені в технічних вимогах.</w:t>
            </w:r>
          </w:p>
          <w:p w14:paraId="797518EE" w14:textId="77777777" w:rsidR="00674D13" w:rsidRPr="00674D13" w:rsidRDefault="00674D13" w:rsidP="00AF2BD3">
            <w:pPr>
              <w:pBdr>
                <w:top w:val="nil"/>
                <w:left w:val="nil"/>
                <w:bottom w:val="nil"/>
                <w:right w:val="nil"/>
                <w:between w:val="nil"/>
              </w:pBdr>
              <w:jc w:val="both"/>
              <w:rPr>
                <w:color w:val="000000"/>
                <w:sz w:val="16"/>
                <w:szCs w:val="16"/>
                <w:lang w:val="uk-UA"/>
              </w:rPr>
            </w:pPr>
            <w:r w:rsidRPr="00674D13">
              <w:rPr>
                <w:color w:val="000000"/>
                <w:sz w:val="16"/>
                <w:szCs w:val="16"/>
                <w:lang w:val="uk-UA"/>
              </w:rPr>
              <w:t>У разі відсутності в додатку до наказу про видачу ліцензії учаснику або субпідряднику (у разі залучення) відповідних кодів відходів та переліку операцій з ними згідно технічних вимог учасник надає у складі пропозиції: наказ про розширення учаснику або субпідряднику (у разі залучення) ліцензії на право провадження господарської діяльності з управління небезпечними відходами разом з додатком до такого наказу із зазначенням кодів відходів відповідно до Національного переліку відходів, додаток до наказу повинен містити коди відходів та перелік операцій з ними, зазначені в технічних вимогах;</w:t>
            </w:r>
          </w:p>
          <w:p w14:paraId="1C4A4D3C" w14:textId="77777777" w:rsidR="00674D13" w:rsidRPr="00674D13" w:rsidRDefault="00674D13" w:rsidP="00AF2BD3">
            <w:pPr>
              <w:pBdr>
                <w:top w:val="nil"/>
                <w:left w:val="nil"/>
                <w:bottom w:val="nil"/>
                <w:right w:val="nil"/>
                <w:between w:val="nil"/>
              </w:pBdr>
              <w:jc w:val="both"/>
              <w:rPr>
                <w:color w:val="000000"/>
                <w:sz w:val="16"/>
                <w:szCs w:val="16"/>
                <w:lang w:val="uk-UA"/>
              </w:rPr>
            </w:pPr>
            <w:r w:rsidRPr="00674D13">
              <w:rPr>
                <w:color w:val="000000"/>
                <w:sz w:val="16"/>
                <w:szCs w:val="16"/>
                <w:lang w:val="uk-UA"/>
              </w:rPr>
              <w:t xml:space="preserve">7. Учасник у складі пропозиції повинен </w:t>
            </w:r>
            <w:r w:rsidRPr="00674D13">
              <w:rPr>
                <w:b/>
                <w:bCs/>
                <w:i/>
                <w:iCs/>
                <w:color w:val="000000"/>
                <w:sz w:val="16"/>
                <w:szCs w:val="16"/>
                <w:lang w:val="uk-UA"/>
              </w:rPr>
              <w:t>надати дозвіл на здійснення операцій з оброблення відходів</w:t>
            </w:r>
            <w:r w:rsidRPr="00674D13">
              <w:rPr>
                <w:color w:val="000000"/>
                <w:sz w:val="16"/>
                <w:szCs w:val="16"/>
                <w:lang w:val="uk-UA"/>
              </w:rPr>
              <w:t>, виданий у відповідності до порядку видачі таких дозволів (відходів відповідно до предмета закупівлі) (вимога відповідно до п.1 ч.3 ст.27 ЗУ «Про управління відходами») або інший документ, що підтверджує право учасника на здійснення операцій з оброблення відходів, виданий відповідно до діючого законодавства, дійсний на весь період надання послуг.</w:t>
            </w:r>
          </w:p>
          <w:p w14:paraId="6981CA7D" w14:textId="77777777" w:rsidR="00674D13" w:rsidRPr="00674D13" w:rsidRDefault="00674D13" w:rsidP="00AF2BD3">
            <w:pPr>
              <w:pBdr>
                <w:top w:val="nil"/>
                <w:left w:val="nil"/>
                <w:bottom w:val="nil"/>
                <w:right w:val="nil"/>
                <w:between w:val="nil"/>
              </w:pBdr>
              <w:jc w:val="both"/>
              <w:rPr>
                <w:b/>
                <w:bCs/>
                <w:color w:val="000000"/>
                <w:sz w:val="16"/>
                <w:szCs w:val="16"/>
                <w:lang w:val="uk-UA"/>
              </w:rPr>
            </w:pPr>
            <w:r w:rsidRPr="00674D13">
              <w:rPr>
                <w:color w:val="000000"/>
                <w:sz w:val="16"/>
                <w:szCs w:val="16"/>
                <w:lang w:val="uk-UA"/>
              </w:rPr>
              <w:t xml:space="preserve">8. Учасник у складі пропозиції повинен </w:t>
            </w:r>
            <w:r w:rsidRPr="00674D13">
              <w:rPr>
                <w:b/>
                <w:bCs/>
                <w:i/>
                <w:iCs/>
                <w:color w:val="000000"/>
                <w:sz w:val="16"/>
                <w:szCs w:val="16"/>
                <w:lang w:val="uk-UA"/>
              </w:rPr>
              <w:t xml:space="preserve">надати: витяг </w:t>
            </w:r>
            <w:proofErr w:type="spellStart"/>
            <w:r w:rsidRPr="00674D13">
              <w:rPr>
                <w:b/>
                <w:bCs/>
                <w:i/>
                <w:iCs/>
                <w:color w:val="000000"/>
                <w:sz w:val="16"/>
                <w:szCs w:val="16"/>
                <w:lang w:val="uk-UA"/>
              </w:rPr>
              <w:t>Укртрансбезпека</w:t>
            </w:r>
            <w:proofErr w:type="spellEnd"/>
            <w:r w:rsidRPr="00674D13">
              <w:rPr>
                <w:b/>
                <w:bCs/>
                <w:i/>
                <w:iCs/>
                <w:color w:val="000000"/>
                <w:sz w:val="16"/>
                <w:szCs w:val="16"/>
                <w:lang w:val="uk-UA"/>
              </w:rPr>
              <w:t xml:space="preserve"> на перевезення небезпечних вантажів та небезпечних відходів</w:t>
            </w:r>
            <w:r w:rsidRPr="00674D13">
              <w:rPr>
                <w:color w:val="000000"/>
                <w:sz w:val="16"/>
                <w:szCs w:val="16"/>
                <w:lang w:val="uk-UA"/>
              </w:rPr>
              <w:t xml:space="preserve"> виданий учаснику або субпідряднику (у разі залучення).</w:t>
            </w:r>
          </w:p>
          <w:p w14:paraId="001BFFC4" w14:textId="77777777" w:rsidR="00445848" w:rsidRPr="00445848" w:rsidRDefault="00445848" w:rsidP="00AF2BD3">
            <w:pPr>
              <w:numPr>
                <w:ilvl w:val="0"/>
                <w:numId w:val="2"/>
              </w:numPr>
              <w:pBdr>
                <w:top w:val="nil"/>
                <w:left w:val="nil"/>
                <w:bottom w:val="nil"/>
                <w:right w:val="nil"/>
                <w:between w:val="nil"/>
              </w:pBdr>
              <w:tabs>
                <w:tab w:val="left" w:pos="319"/>
              </w:tabs>
              <w:ind w:left="177" w:firstLine="0"/>
              <w:jc w:val="center"/>
              <w:rPr>
                <w:b/>
                <w:bCs/>
                <w:color w:val="000000"/>
                <w:sz w:val="16"/>
                <w:szCs w:val="16"/>
                <w:lang w:val="uk-UA"/>
              </w:rPr>
            </w:pPr>
            <w:r w:rsidRPr="00445848">
              <w:rPr>
                <w:b/>
                <w:bCs/>
                <w:color w:val="000000"/>
                <w:sz w:val="16"/>
                <w:szCs w:val="16"/>
                <w:lang w:val="uk-UA"/>
              </w:rPr>
              <w:t>Кількісні та якісні характеристики:</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365"/>
              <w:gridCol w:w="1309"/>
              <w:gridCol w:w="877"/>
              <w:gridCol w:w="922"/>
              <w:gridCol w:w="980"/>
            </w:tblGrid>
            <w:tr w:rsidR="001C6E2F" w:rsidRPr="00B51A37" w14:paraId="21E4EDDA" w14:textId="77777777" w:rsidTr="00545A61">
              <w:tc>
                <w:tcPr>
                  <w:tcW w:w="0" w:type="auto"/>
                  <w:shd w:val="clear" w:color="auto" w:fill="auto"/>
                  <w:vAlign w:val="center"/>
                </w:tcPr>
                <w:p w14:paraId="324E2FCC" w14:textId="77777777" w:rsidR="001C6E2F" w:rsidRPr="00B51A37" w:rsidRDefault="001C6E2F" w:rsidP="00AF2BD3">
                  <w:pPr>
                    <w:jc w:val="center"/>
                    <w:rPr>
                      <w:rFonts w:eastAsia="Times New Roman"/>
                      <w:b/>
                      <w:sz w:val="16"/>
                      <w:szCs w:val="16"/>
                      <w:lang w:val="uk-UA"/>
                    </w:rPr>
                  </w:pPr>
                  <w:bookmarkStart w:id="0" w:name="_Hlk185423239"/>
                  <w:r w:rsidRPr="00B51A37">
                    <w:rPr>
                      <w:rFonts w:eastAsia="Times New Roman"/>
                      <w:b/>
                      <w:sz w:val="16"/>
                      <w:szCs w:val="16"/>
                      <w:lang w:val="uk-UA"/>
                    </w:rPr>
                    <w:t>№</w:t>
                  </w:r>
                </w:p>
              </w:tc>
              <w:tc>
                <w:tcPr>
                  <w:tcW w:w="3727" w:type="dxa"/>
                  <w:shd w:val="clear" w:color="auto" w:fill="auto"/>
                  <w:vAlign w:val="center"/>
                </w:tcPr>
                <w:p w14:paraId="7C8C7428"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 xml:space="preserve">Найменування </w:t>
                  </w:r>
                </w:p>
              </w:tc>
              <w:tc>
                <w:tcPr>
                  <w:tcW w:w="1134" w:type="dxa"/>
                  <w:shd w:val="clear" w:color="auto" w:fill="auto"/>
                  <w:vAlign w:val="center"/>
                </w:tcPr>
                <w:p w14:paraId="33511493"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 xml:space="preserve">Коди небезпечних відходів відповідно до Національного переліку </w:t>
                  </w:r>
                  <w:r w:rsidRPr="00B51A37">
                    <w:rPr>
                      <w:rFonts w:eastAsia="Times New Roman"/>
                      <w:b/>
                      <w:sz w:val="16"/>
                      <w:szCs w:val="16"/>
                      <w:lang w:val="uk-UA"/>
                    </w:rPr>
                    <w:lastRenderedPageBreak/>
                    <w:t>відходів та перелік (коди) операцій з небезпечними відходами</w:t>
                  </w:r>
                </w:p>
              </w:tc>
              <w:tc>
                <w:tcPr>
                  <w:tcW w:w="712" w:type="dxa"/>
                  <w:shd w:val="clear" w:color="auto" w:fill="auto"/>
                  <w:vAlign w:val="center"/>
                </w:tcPr>
                <w:p w14:paraId="488F1090"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lastRenderedPageBreak/>
                    <w:t>Одиниця виміру</w:t>
                  </w:r>
                </w:p>
              </w:tc>
              <w:tc>
                <w:tcPr>
                  <w:tcW w:w="851" w:type="dxa"/>
                  <w:shd w:val="clear" w:color="auto" w:fill="auto"/>
                  <w:vAlign w:val="center"/>
                </w:tcPr>
                <w:p w14:paraId="337B30E4"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Кількість</w:t>
                  </w:r>
                </w:p>
              </w:tc>
              <w:tc>
                <w:tcPr>
                  <w:tcW w:w="992" w:type="dxa"/>
                  <w:vAlign w:val="center"/>
                </w:tcPr>
                <w:p w14:paraId="180F66BC"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Графік вивозу</w:t>
                  </w:r>
                </w:p>
              </w:tc>
            </w:tr>
            <w:tr w:rsidR="001C6E2F" w:rsidRPr="00B51A37" w14:paraId="50F0CDF3" w14:textId="77777777" w:rsidTr="00545A61">
              <w:tc>
                <w:tcPr>
                  <w:tcW w:w="0" w:type="auto"/>
                  <w:shd w:val="clear" w:color="auto" w:fill="auto"/>
                  <w:vAlign w:val="center"/>
                </w:tcPr>
                <w:p w14:paraId="66857678"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1</w:t>
                  </w:r>
                </w:p>
              </w:tc>
              <w:tc>
                <w:tcPr>
                  <w:tcW w:w="3727" w:type="dxa"/>
                  <w:shd w:val="clear" w:color="auto" w:fill="auto"/>
                  <w:vAlign w:val="center"/>
                </w:tcPr>
                <w:p w14:paraId="291ED53A" w14:textId="77777777" w:rsidR="001C6E2F" w:rsidRPr="00B51A37" w:rsidRDefault="001C6E2F" w:rsidP="00AF2BD3">
                  <w:pPr>
                    <w:jc w:val="both"/>
                    <w:rPr>
                      <w:rFonts w:eastAsia="Times New Roman"/>
                      <w:b/>
                      <w:sz w:val="16"/>
                      <w:szCs w:val="16"/>
                      <w:lang w:val="uk-UA"/>
                    </w:rPr>
                  </w:pPr>
                  <w:r w:rsidRPr="00B51A37">
                    <w:rPr>
                      <w:rFonts w:eastAsia="Times New Roman"/>
                      <w:b/>
                      <w:sz w:val="16"/>
                      <w:szCs w:val="16"/>
                      <w:lang w:val="uk-UA"/>
                    </w:rPr>
                    <w:t>Відходи категорії В:</w:t>
                  </w:r>
                </w:p>
                <w:p w14:paraId="1EE6E0AC" w14:textId="77777777" w:rsidR="001C6E2F" w:rsidRPr="00B51A37" w:rsidRDefault="001C6E2F" w:rsidP="00AF2BD3">
                  <w:pPr>
                    <w:jc w:val="both"/>
                    <w:rPr>
                      <w:rFonts w:eastAsia="Times New Roman"/>
                      <w:sz w:val="16"/>
                      <w:szCs w:val="16"/>
                      <w:lang w:val="uk-UA"/>
                    </w:rPr>
                  </w:pPr>
                  <w:r w:rsidRPr="00B51A37">
                    <w:rPr>
                      <w:rFonts w:eastAsia="Times New Roman"/>
                      <w:b/>
                      <w:bCs/>
                      <w:sz w:val="16"/>
                      <w:szCs w:val="16"/>
                      <w:lang w:val="uk-UA"/>
                    </w:rPr>
                    <w:t>*</w:t>
                  </w:r>
                  <w:r w:rsidRPr="00B51A37">
                    <w:rPr>
                      <w:rFonts w:eastAsia="Times New Roman"/>
                      <w:sz w:val="16"/>
                      <w:szCs w:val="16"/>
                      <w:lang w:val="uk-UA"/>
                    </w:rPr>
                    <w:t xml:space="preserve"> - використані небезпечно гострі предмети і медичні вироби забруднені кров’ю та/або іншими біологічними рідинами (голки, шприци з одягненими голками, системи для внутрішньовенних інфузій з голками, скальпелі та їх леза, битий скляний посуд, внутрішньовенні катетери, ланцети для забору крові тощо);</w:t>
                  </w:r>
                </w:p>
                <w:p w14:paraId="1A45EEB8" w14:textId="77777777" w:rsidR="001C6E2F" w:rsidRPr="00B51A37" w:rsidRDefault="001C6E2F" w:rsidP="00AF2BD3">
                  <w:pPr>
                    <w:jc w:val="both"/>
                    <w:rPr>
                      <w:rFonts w:eastAsia="Times New Roman"/>
                      <w:b/>
                      <w:sz w:val="16"/>
                      <w:szCs w:val="16"/>
                      <w:lang w:val="uk-UA"/>
                    </w:rPr>
                  </w:pPr>
                  <w:r w:rsidRPr="00B51A37">
                    <w:rPr>
                      <w:rFonts w:eastAsia="Times New Roman"/>
                      <w:b/>
                      <w:bCs/>
                      <w:sz w:val="16"/>
                      <w:szCs w:val="16"/>
                      <w:lang w:val="uk-UA"/>
                    </w:rPr>
                    <w:t>**</w:t>
                  </w:r>
                  <w:r w:rsidRPr="00B51A37">
                    <w:rPr>
                      <w:rFonts w:eastAsia="Times New Roman"/>
                      <w:sz w:val="16"/>
                      <w:szCs w:val="16"/>
                      <w:lang w:val="uk-UA"/>
                    </w:rPr>
                    <w:t xml:space="preserve"> - медичні вироби і предмети, забруднені кров’ю та/або іншими біологічними рідинами (кисневі маски, шприци без голок, засоби індивідуального захисту, одноразові гінекологічні дзеркала, одноразовий медичний одяг та операційні набори, використані ватні кульки та перев’язувальний матеріал, катетери сечові, </w:t>
                  </w:r>
                  <w:proofErr w:type="spellStart"/>
                  <w:r w:rsidRPr="00B51A37">
                    <w:rPr>
                      <w:rFonts w:eastAsia="Times New Roman"/>
                      <w:sz w:val="16"/>
                      <w:szCs w:val="16"/>
                      <w:lang w:val="uk-UA"/>
                    </w:rPr>
                    <w:t>нозальні</w:t>
                  </w:r>
                  <w:proofErr w:type="spellEnd"/>
                  <w:r w:rsidRPr="00B51A37">
                    <w:rPr>
                      <w:rFonts w:eastAsia="Times New Roman"/>
                      <w:sz w:val="16"/>
                      <w:szCs w:val="16"/>
                      <w:lang w:val="uk-UA"/>
                    </w:rPr>
                    <w:t xml:space="preserve"> </w:t>
                  </w:r>
                  <w:proofErr w:type="spellStart"/>
                  <w:r w:rsidRPr="00B51A37">
                    <w:rPr>
                      <w:rFonts w:eastAsia="Times New Roman"/>
                      <w:sz w:val="16"/>
                      <w:szCs w:val="16"/>
                      <w:lang w:val="uk-UA"/>
                    </w:rPr>
                    <w:t>канюлі</w:t>
                  </w:r>
                  <w:proofErr w:type="spellEnd"/>
                  <w:r w:rsidRPr="00B51A37">
                    <w:rPr>
                      <w:rFonts w:eastAsia="Times New Roman"/>
                      <w:sz w:val="16"/>
                      <w:szCs w:val="16"/>
                      <w:lang w:val="uk-UA"/>
                    </w:rPr>
                    <w:t xml:space="preserve">, дренажі, порожні пакети з-під препаратів крові та </w:t>
                  </w:r>
                  <w:proofErr w:type="spellStart"/>
                  <w:r w:rsidRPr="00B51A37">
                    <w:rPr>
                      <w:rFonts w:eastAsia="Times New Roman"/>
                      <w:sz w:val="16"/>
                      <w:szCs w:val="16"/>
                      <w:lang w:val="uk-UA"/>
                    </w:rPr>
                    <w:t>кровозамінювачів</w:t>
                  </w:r>
                  <w:proofErr w:type="spellEnd"/>
                  <w:r w:rsidRPr="00B51A37">
                    <w:rPr>
                      <w:rFonts w:eastAsia="Times New Roman"/>
                      <w:sz w:val="16"/>
                      <w:szCs w:val="16"/>
                      <w:lang w:val="uk-UA"/>
                    </w:rPr>
                    <w:t>, зонди шлункові, фільтри для наркозних апаратів, одноразові медичні інструменти, набори для діагностичних аналізів, органні відходи тощо)</w:t>
                  </w:r>
                </w:p>
              </w:tc>
              <w:tc>
                <w:tcPr>
                  <w:tcW w:w="1134" w:type="dxa"/>
                  <w:shd w:val="clear" w:color="auto" w:fill="auto"/>
                  <w:vAlign w:val="center"/>
                </w:tcPr>
                <w:p w14:paraId="07E3C038"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18 02 02*</w:t>
                  </w:r>
                </w:p>
                <w:p w14:paraId="4751E0BC"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(D15, D10)</w:t>
                  </w:r>
                </w:p>
                <w:p w14:paraId="2B277593" w14:textId="77777777" w:rsidR="001C6E2F" w:rsidRPr="00B51A37" w:rsidRDefault="001C6E2F" w:rsidP="00AF2BD3">
                  <w:pPr>
                    <w:jc w:val="center"/>
                    <w:rPr>
                      <w:rFonts w:eastAsia="Times New Roman"/>
                      <w:sz w:val="16"/>
                      <w:szCs w:val="16"/>
                      <w:lang w:val="uk-UA"/>
                    </w:rPr>
                  </w:pPr>
                </w:p>
              </w:tc>
              <w:tc>
                <w:tcPr>
                  <w:tcW w:w="712" w:type="dxa"/>
                  <w:shd w:val="clear" w:color="auto" w:fill="auto"/>
                  <w:vAlign w:val="center"/>
                </w:tcPr>
                <w:p w14:paraId="23D643BF"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кг</w:t>
                  </w:r>
                </w:p>
              </w:tc>
              <w:tc>
                <w:tcPr>
                  <w:tcW w:w="851" w:type="dxa"/>
                  <w:shd w:val="clear" w:color="auto" w:fill="auto"/>
                  <w:vAlign w:val="center"/>
                </w:tcPr>
                <w:p w14:paraId="6DF1CAD4"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59000</w:t>
                  </w:r>
                </w:p>
              </w:tc>
              <w:tc>
                <w:tcPr>
                  <w:tcW w:w="992" w:type="dxa"/>
                  <w:vAlign w:val="center"/>
                </w:tcPr>
                <w:p w14:paraId="6FFF1C0D" w14:textId="77777777" w:rsidR="001C6E2F" w:rsidRPr="00B51A37" w:rsidRDefault="001C6E2F" w:rsidP="00AF2BD3">
                  <w:pPr>
                    <w:jc w:val="center"/>
                    <w:rPr>
                      <w:rFonts w:eastAsia="Times New Roman"/>
                      <w:sz w:val="16"/>
                      <w:szCs w:val="16"/>
                    </w:rPr>
                  </w:pPr>
                  <w:r w:rsidRPr="00B51A37">
                    <w:rPr>
                      <w:rFonts w:eastAsia="Times New Roman"/>
                      <w:sz w:val="16"/>
                      <w:szCs w:val="16"/>
                    </w:rPr>
                    <w:t xml:space="preserve">1 </w:t>
                  </w:r>
                  <w:proofErr w:type="spellStart"/>
                  <w:r w:rsidRPr="00B51A37">
                    <w:rPr>
                      <w:rFonts w:eastAsia="Times New Roman"/>
                      <w:sz w:val="16"/>
                      <w:szCs w:val="16"/>
                    </w:rPr>
                    <w:t>раз</w:t>
                  </w:r>
                  <w:proofErr w:type="spellEnd"/>
                  <w:r w:rsidRPr="00B51A37">
                    <w:rPr>
                      <w:rFonts w:eastAsia="Times New Roman"/>
                      <w:sz w:val="16"/>
                      <w:szCs w:val="16"/>
                    </w:rPr>
                    <w:t>/</w:t>
                  </w:r>
                </w:p>
                <w:p w14:paraId="28E41470" w14:textId="77777777" w:rsidR="001C6E2F" w:rsidRPr="00B51A37" w:rsidRDefault="001C6E2F" w:rsidP="00AF2BD3">
                  <w:pPr>
                    <w:jc w:val="center"/>
                    <w:rPr>
                      <w:rFonts w:eastAsia="Times New Roman"/>
                      <w:sz w:val="16"/>
                      <w:szCs w:val="16"/>
                      <w:lang w:val="uk-UA"/>
                    </w:rPr>
                  </w:pPr>
                  <w:proofErr w:type="spellStart"/>
                  <w:r w:rsidRPr="00B51A37">
                    <w:rPr>
                      <w:rFonts w:eastAsia="Times New Roman"/>
                      <w:sz w:val="16"/>
                      <w:szCs w:val="16"/>
                    </w:rPr>
                    <w:t>тиждень</w:t>
                  </w:r>
                  <w:proofErr w:type="spellEnd"/>
                </w:p>
              </w:tc>
            </w:tr>
            <w:tr w:rsidR="001C6E2F" w:rsidRPr="00B51A37" w14:paraId="61A1F331" w14:textId="77777777" w:rsidTr="00545A61">
              <w:trPr>
                <w:trHeight w:val="357"/>
              </w:trPr>
              <w:tc>
                <w:tcPr>
                  <w:tcW w:w="0" w:type="auto"/>
                  <w:shd w:val="clear" w:color="auto" w:fill="auto"/>
                  <w:vAlign w:val="center"/>
                </w:tcPr>
                <w:p w14:paraId="4119C522"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2</w:t>
                  </w:r>
                </w:p>
              </w:tc>
              <w:tc>
                <w:tcPr>
                  <w:tcW w:w="3727" w:type="dxa"/>
                  <w:shd w:val="clear" w:color="auto" w:fill="auto"/>
                  <w:vAlign w:val="center"/>
                </w:tcPr>
                <w:p w14:paraId="14AC8BBC" w14:textId="77777777" w:rsidR="001C6E2F" w:rsidRPr="00B51A37" w:rsidRDefault="001C6E2F" w:rsidP="00AF2BD3">
                  <w:pPr>
                    <w:jc w:val="both"/>
                    <w:rPr>
                      <w:rFonts w:eastAsia="Times New Roman"/>
                      <w:b/>
                      <w:sz w:val="16"/>
                      <w:szCs w:val="16"/>
                      <w:lang w:val="uk-UA"/>
                    </w:rPr>
                  </w:pPr>
                  <w:r w:rsidRPr="00B51A37">
                    <w:rPr>
                      <w:rFonts w:eastAsia="Times New Roman"/>
                      <w:b/>
                      <w:sz w:val="16"/>
                      <w:szCs w:val="16"/>
                      <w:lang w:val="uk-UA"/>
                    </w:rPr>
                    <w:t>Відходи категорії C:</w:t>
                  </w:r>
                </w:p>
                <w:p w14:paraId="3A7971BB" w14:textId="77777777" w:rsidR="001C6E2F" w:rsidRPr="00B51A37" w:rsidRDefault="001C6E2F" w:rsidP="00AF2BD3">
                  <w:pPr>
                    <w:jc w:val="both"/>
                    <w:rPr>
                      <w:rFonts w:eastAsia="Times New Roman"/>
                      <w:sz w:val="16"/>
                      <w:szCs w:val="16"/>
                      <w:lang w:val="uk-UA"/>
                    </w:rPr>
                  </w:pPr>
                  <w:r w:rsidRPr="00B51A37">
                    <w:rPr>
                      <w:rFonts w:eastAsia="Times New Roman"/>
                      <w:b/>
                      <w:bCs/>
                      <w:sz w:val="16"/>
                      <w:szCs w:val="16"/>
                      <w:lang w:val="uk-UA"/>
                    </w:rPr>
                    <w:t>**</w:t>
                  </w:r>
                  <w:r w:rsidRPr="00B51A37">
                    <w:rPr>
                      <w:rFonts w:eastAsia="Times New Roman"/>
                      <w:sz w:val="16"/>
                      <w:szCs w:val="16"/>
                      <w:lang w:val="uk-UA"/>
                    </w:rPr>
                    <w:t xml:space="preserve"> - відходи забруднені цитостатиками і </w:t>
                  </w:r>
                  <w:proofErr w:type="spellStart"/>
                  <w:r w:rsidRPr="00B51A37">
                    <w:rPr>
                      <w:rFonts w:eastAsia="Times New Roman"/>
                      <w:sz w:val="16"/>
                      <w:szCs w:val="16"/>
                      <w:lang w:val="uk-UA"/>
                    </w:rPr>
                    <w:t>генотоксичними</w:t>
                  </w:r>
                  <w:proofErr w:type="spellEnd"/>
                  <w:r w:rsidRPr="00B51A37">
                    <w:rPr>
                      <w:rFonts w:eastAsia="Times New Roman"/>
                      <w:sz w:val="16"/>
                      <w:szCs w:val="16"/>
                      <w:lang w:val="uk-UA"/>
                    </w:rPr>
                    <w:t xml:space="preserve"> лікарськими та діагностичними засобами, первинна упаковка отруйних лікарських засобів</w:t>
                  </w:r>
                </w:p>
              </w:tc>
              <w:tc>
                <w:tcPr>
                  <w:tcW w:w="1134" w:type="dxa"/>
                  <w:shd w:val="clear" w:color="auto" w:fill="auto"/>
                  <w:vAlign w:val="center"/>
                </w:tcPr>
                <w:p w14:paraId="600CE2E1"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18 01 08*</w:t>
                  </w:r>
                </w:p>
                <w:p w14:paraId="6968CAAC"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(D15, D10)</w:t>
                  </w:r>
                </w:p>
              </w:tc>
              <w:tc>
                <w:tcPr>
                  <w:tcW w:w="712" w:type="dxa"/>
                  <w:shd w:val="clear" w:color="auto" w:fill="auto"/>
                  <w:vAlign w:val="center"/>
                </w:tcPr>
                <w:p w14:paraId="743408C4"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кг</w:t>
                  </w:r>
                </w:p>
              </w:tc>
              <w:tc>
                <w:tcPr>
                  <w:tcW w:w="851" w:type="dxa"/>
                  <w:shd w:val="clear" w:color="auto" w:fill="auto"/>
                  <w:vAlign w:val="center"/>
                </w:tcPr>
                <w:p w14:paraId="0B4130B5"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15000</w:t>
                  </w:r>
                </w:p>
              </w:tc>
              <w:tc>
                <w:tcPr>
                  <w:tcW w:w="992" w:type="dxa"/>
                  <w:vAlign w:val="center"/>
                </w:tcPr>
                <w:p w14:paraId="5EF639A3" w14:textId="77777777" w:rsidR="001C6E2F" w:rsidRPr="00B51A37" w:rsidRDefault="001C6E2F" w:rsidP="00AF2BD3">
                  <w:pPr>
                    <w:jc w:val="center"/>
                    <w:rPr>
                      <w:rFonts w:eastAsia="Times New Roman"/>
                      <w:sz w:val="16"/>
                      <w:szCs w:val="16"/>
                    </w:rPr>
                  </w:pPr>
                  <w:r w:rsidRPr="00B51A37">
                    <w:rPr>
                      <w:rFonts w:eastAsia="Times New Roman"/>
                      <w:sz w:val="16"/>
                      <w:szCs w:val="16"/>
                    </w:rPr>
                    <w:t xml:space="preserve">1 </w:t>
                  </w:r>
                  <w:proofErr w:type="spellStart"/>
                  <w:r w:rsidRPr="00B51A37">
                    <w:rPr>
                      <w:rFonts w:eastAsia="Times New Roman"/>
                      <w:sz w:val="16"/>
                      <w:szCs w:val="16"/>
                    </w:rPr>
                    <w:t>раз</w:t>
                  </w:r>
                  <w:proofErr w:type="spellEnd"/>
                  <w:r w:rsidRPr="00B51A37">
                    <w:rPr>
                      <w:rFonts w:eastAsia="Times New Roman"/>
                      <w:sz w:val="16"/>
                      <w:szCs w:val="16"/>
                    </w:rPr>
                    <w:t>/</w:t>
                  </w:r>
                </w:p>
                <w:p w14:paraId="270E10A9" w14:textId="77777777" w:rsidR="001C6E2F" w:rsidRPr="00B51A37" w:rsidRDefault="001C6E2F" w:rsidP="00AF2BD3">
                  <w:pPr>
                    <w:jc w:val="center"/>
                    <w:rPr>
                      <w:rFonts w:eastAsia="Times New Roman"/>
                      <w:sz w:val="16"/>
                      <w:szCs w:val="16"/>
                      <w:lang w:val="uk-UA"/>
                    </w:rPr>
                  </w:pPr>
                  <w:proofErr w:type="spellStart"/>
                  <w:r w:rsidRPr="00B51A37">
                    <w:rPr>
                      <w:rFonts w:eastAsia="Times New Roman"/>
                      <w:sz w:val="16"/>
                      <w:szCs w:val="16"/>
                    </w:rPr>
                    <w:t>тиждень</w:t>
                  </w:r>
                  <w:proofErr w:type="spellEnd"/>
                </w:p>
              </w:tc>
            </w:tr>
            <w:tr w:rsidR="001C6E2F" w:rsidRPr="00B51A37" w14:paraId="057EB97D" w14:textId="77777777" w:rsidTr="00545A61">
              <w:trPr>
                <w:trHeight w:val="368"/>
              </w:trPr>
              <w:tc>
                <w:tcPr>
                  <w:tcW w:w="0" w:type="auto"/>
                  <w:shd w:val="clear" w:color="auto" w:fill="auto"/>
                  <w:vAlign w:val="center"/>
                </w:tcPr>
                <w:p w14:paraId="1CFB89CD"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3</w:t>
                  </w:r>
                </w:p>
              </w:tc>
              <w:tc>
                <w:tcPr>
                  <w:tcW w:w="3727" w:type="dxa"/>
                  <w:shd w:val="clear" w:color="auto" w:fill="auto"/>
                  <w:vAlign w:val="center"/>
                </w:tcPr>
                <w:p w14:paraId="78E23FA2" w14:textId="77777777" w:rsidR="001C6E2F" w:rsidRPr="00B51A37" w:rsidRDefault="001C6E2F" w:rsidP="00AF2BD3">
                  <w:pPr>
                    <w:jc w:val="both"/>
                    <w:rPr>
                      <w:rFonts w:eastAsia="Times New Roman"/>
                      <w:b/>
                      <w:sz w:val="16"/>
                      <w:szCs w:val="16"/>
                      <w:lang w:val="uk-UA"/>
                    </w:rPr>
                  </w:pPr>
                  <w:r w:rsidRPr="00B51A37">
                    <w:rPr>
                      <w:rFonts w:eastAsia="Times New Roman"/>
                      <w:b/>
                      <w:sz w:val="16"/>
                      <w:szCs w:val="16"/>
                      <w:lang w:val="uk-UA"/>
                    </w:rPr>
                    <w:t>Відходи категорії C:</w:t>
                  </w:r>
                </w:p>
                <w:p w14:paraId="1AB0129B" w14:textId="77777777" w:rsidR="001C6E2F" w:rsidRPr="00B51A37" w:rsidRDefault="001C6E2F" w:rsidP="00AF2BD3">
                  <w:pPr>
                    <w:jc w:val="both"/>
                    <w:rPr>
                      <w:rFonts w:eastAsia="Times New Roman"/>
                      <w:sz w:val="16"/>
                      <w:szCs w:val="16"/>
                      <w:lang w:val="uk-UA"/>
                    </w:rPr>
                  </w:pPr>
                  <w:r w:rsidRPr="00B51A37">
                    <w:rPr>
                      <w:rFonts w:eastAsia="Times New Roman"/>
                      <w:sz w:val="16"/>
                      <w:szCs w:val="16"/>
                      <w:lang w:val="uk-UA"/>
                    </w:rPr>
                    <w:t>лікарські засоби, що не підлягають  подальшому використанню  (некондиційні фармацевтичні препарати за винятком прекурсорів)</w:t>
                  </w:r>
                </w:p>
              </w:tc>
              <w:tc>
                <w:tcPr>
                  <w:tcW w:w="1134" w:type="dxa"/>
                  <w:shd w:val="clear" w:color="auto" w:fill="auto"/>
                  <w:vAlign w:val="center"/>
                </w:tcPr>
                <w:p w14:paraId="6FC67562"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16 12 46*</w:t>
                  </w:r>
                </w:p>
                <w:p w14:paraId="2B922FD5"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(D15, D10)</w:t>
                  </w:r>
                </w:p>
              </w:tc>
              <w:tc>
                <w:tcPr>
                  <w:tcW w:w="712" w:type="dxa"/>
                  <w:shd w:val="clear" w:color="auto" w:fill="auto"/>
                  <w:vAlign w:val="center"/>
                </w:tcPr>
                <w:p w14:paraId="2241C257"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кг</w:t>
                  </w:r>
                </w:p>
              </w:tc>
              <w:tc>
                <w:tcPr>
                  <w:tcW w:w="851" w:type="dxa"/>
                  <w:shd w:val="clear" w:color="auto" w:fill="auto"/>
                  <w:vAlign w:val="center"/>
                </w:tcPr>
                <w:p w14:paraId="4FC953C7"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10000</w:t>
                  </w:r>
                </w:p>
              </w:tc>
              <w:tc>
                <w:tcPr>
                  <w:tcW w:w="992" w:type="dxa"/>
                  <w:vAlign w:val="center"/>
                </w:tcPr>
                <w:p w14:paraId="799FE0C4" w14:textId="77777777" w:rsidR="001C6E2F" w:rsidRPr="00B51A37" w:rsidRDefault="001C6E2F" w:rsidP="00AF2BD3">
                  <w:pPr>
                    <w:jc w:val="center"/>
                    <w:rPr>
                      <w:rFonts w:eastAsia="Times New Roman"/>
                      <w:sz w:val="16"/>
                      <w:szCs w:val="16"/>
                      <w:lang w:val="uk-UA"/>
                    </w:rPr>
                  </w:pPr>
                  <w:r w:rsidRPr="00B51A37">
                    <w:rPr>
                      <w:rFonts w:eastAsia="Times New Roman"/>
                      <w:sz w:val="16"/>
                      <w:szCs w:val="16"/>
                    </w:rPr>
                    <w:t xml:space="preserve">По </w:t>
                  </w:r>
                  <w:proofErr w:type="spellStart"/>
                  <w:r w:rsidRPr="00B51A37">
                    <w:rPr>
                      <w:rFonts w:eastAsia="Times New Roman"/>
                      <w:sz w:val="16"/>
                      <w:szCs w:val="16"/>
                    </w:rPr>
                    <w:t>мірі</w:t>
                  </w:r>
                  <w:proofErr w:type="spellEnd"/>
                  <w:r w:rsidRPr="00B51A37">
                    <w:rPr>
                      <w:rFonts w:eastAsia="Times New Roman"/>
                      <w:sz w:val="16"/>
                      <w:szCs w:val="16"/>
                    </w:rPr>
                    <w:t xml:space="preserve"> </w:t>
                  </w:r>
                  <w:proofErr w:type="spellStart"/>
                  <w:r w:rsidRPr="00B51A37">
                    <w:rPr>
                      <w:rFonts w:eastAsia="Times New Roman"/>
                      <w:sz w:val="16"/>
                      <w:szCs w:val="16"/>
                    </w:rPr>
                    <w:t>утворення</w:t>
                  </w:r>
                  <w:proofErr w:type="spellEnd"/>
                </w:p>
              </w:tc>
            </w:tr>
            <w:tr w:rsidR="001C6E2F" w:rsidRPr="00B51A37" w14:paraId="0097C11B" w14:textId="77777777" w:rsidTr="00545A61">
              <w:tc>
                <w:tcPr>
                  <w:tcW w:w="0" w:type="auto"/>
                  <w:shd w:val="clear" w:color="auto" w:fill="auto"/>
                  <w:vAlign w:val="center"/>
                </w:tcPr>
                <w:p w14:paraId="699EB4AB" w14:textId="77777777" w:rsidR="001C6E2F" w:rsidRPr="00B51A37" w:rsidRDefault="001C6E2F" w:rsidP="00AF2BD3">
                  <w:pPr>
                    <w:jc w:val="center"/>
                    <w:rPr>
                      <w:rFonts w:eastAsia="Times New Roman"/>
                      <w:b/>
                      <w:sz w:val="16"/>
                      <w:szCs w:val="16"/>
                      <w:lang w:val="uk-UA"/>
                    </w:rPr>
                  </w:pPr>
                  <w:r w:rsidRPr="00B51A37">
                    <w:rPr>
                      <w:rFonts w:eastAsia="Times New Roman"/>
                      <w:b/>
                      <w:sz w:val="16"/>
                      <w:szCs w:val="16"/>
                      <w:lang w:val="uk-UA"/>
                    </w:rPr>
                    <w:t>4</w:t>
                  </w:r>
                </w:p>
              </w:tc>
              <w:tc>
                <w:tcPr>
                  <w:tcW w:w="3727" w:type="dxa"/>
                  <w:shd w:val="clear" w:color="auto" w:fill="auto"/>
                  <w:vAlign w:val="center"/>
                </w:tcPr>
                <w:p w14:paraId="0885F02C" w14:textId="77777777" w:rsidR="001C6E2F" w:rsidRPr="00B51A37" w:rsidRDefault="001C6E2F" w:rsidP="00AF2BD3">
                  <w:pPr>
                    <w:jc w:val="both"/>
                    <w:rPr>
                      <w:rFonts w:eastAsia="Times New Roman"/>
                      <w:b/>
                      <w:sz w:val="16"/>
                      <w:szCs w:val="16"/>
                      <w:lang w:val="uk-UA"/>
                    </w:rPr>
                  </w:pPr>
                  <w:r w:rsidRPr="00B51A37">
                    <w:rPr>
                      <w:rFonts w:eastAsia="Times New Roman"/>
                      <w:b/>
                      <w:sz w:val="16"/>
                      <w:szCs w:val="16"/>
                      <w:lang w:val="uk-UA"/>
                    </w:rPr>
                    <w:t>Інші небезпечні відходи:</w:t>
                  </w:r>
                </w:p>
                <w:p w14:paraId="155B789E" w14:textId="77777777" w:rsidR="001C6E2F" w:rsidRPr="00B51A37" w:rsidRDefault="001C6E2F" w:rsidP="00AF2BD3">
                  <w:pPr>
                    <w:jc w:val="both"/>
                    <w:rPr>
                      <w:rFonts w:eastAsia="Times New Roman"/>
                      <w:sz w:val="16"/>
                      <w:szCs w:val="16"/>
                      <w:lang w:val="uk-UA"/>
                    </w:rPr>
                  </w:pPr>
                  <w:r w:rsidRPr="00B51A37">
                    <w:rPr>
                      <w:rFonts w:eastAsia="Times New Roman"/>
                      <w:sz w:val="16"/>
                      <w:szCs w:val="16"/>
                      <w:lang w:val="uk-UA"/>
                    </w:rPr>
                    <w:t xml:space="preserve">люмінесцентні лампи та інші </w:t>
                  </w:r>
                  <w:proofErr w:type="spellStart"/>
                  <w:r w:rsidRPr="00B51A37">
                    <w:rPr>
                      <w:rFonts w:eastAsia="Times New Roman"/>
                      <w:sz w:val="16"/>
                      <w:szCs w:val="16"/>
                      <w:lang w:val="uk-UA"/>
                    </w:rPr>
                    <w:t>ртутьвмісні</w:t>
                  </w:r>
                  <w:proofErr w:type="spellEnd"/>
                  <w:r w:rsidRPr="00B51A37">
                    <w:rPr>
                      <w:rFonts w:eastAsia="Times New Roman"/>
                      <w:sz w:val="16"/>
                      <w:szCs w:val="16"/>
                      <w:lang w:val="uk-UA"/>
                    </w:rPr>
                    <w:t xml:space="preserve"> відходи</w:t>
                  </w:r>
                </w:p>
              </w:tc>
              <w:tc>
                <w:tcPr>
                  <w:tcW w:w="1134" w:type="dxa"/>
                  <w:shd w:val="clear" w:color="auto" w:fill="auto"/>
                  <w:vAlign w:val="center"/>
                </w:tcPr>
                <w:p w14:paraId="712EF473"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20 01 21*</w:t>
                  </w:r>
                </w:p>
                <w:p w14:paraId="3164E2AE"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(D15, D9)</w:t>
                  </w:r>
                </w:p>
              </w:tc>
              <w:tc>
                <w:tcPr>
                  <w:tcW w:w="712" w:type="dxa"/>
                  <w:shd w:val="clear" w:color="auto" w:fill="auto"/>
                  <w:vAlign w:val="center"/>
                </w:tcPr>
                <w:p w14:paraId="0658ED47"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кг</w:t>
                  </w:r>
                </w:p>
              </w:tc>
              <w:tc>
                <w:tcPr>
                  <w:tcW w:w="851" w:type="dxa"/>
                  <w:shd w:val="clear" w:color="auto" w:fill="auto"/>
                  <w:vAlign w:val="center"/>
                </w:tcPr>
                <w:p w14:paraId="1C937BE3" w14:textId="77777777" w:rsidR="001C6E2F" w:rsidRPr="00B51A37" w:rsidRDefault="001C6E2F" w:rsidP="00AF2BD3">
                  <w:pPr>
                    <w:jc w:val="center"/>
                    <w:rPr>
                      <w:rFonts w:eastAsia="Times New Roman"/>
                      <w:sz w:val="16"/>
                      <w:szCs w:val="16"/>
                      <w:lang w:val="uk-UA"/>
                    </w:rPr>
                  </w:pPr>
                  <w:r w:rsidRPr="00B51A37">
                    <w:rPr>
                      <w:rFonts w:eastAsia="Times New Roman"/>
                      <w:sz w:val="16"/>
                      <w:szCs w:val="16"/>
                      <w:lang w:val="uk-UA"/>
                    </w:rPr>
                    <w:t>1000</w:t>
                  </w:r>
                </w:p>
              </w:tc>
              <w:tc>
                <w:tcPr>
                  <w:tcW w:w="992" w:type="dxa"/>
                  <w:vAlign w:val="center"/>
                </w:tcPr>
                <w:p w14:paraId="610464B1" w14:textId="77777777" w:rsidR="001C6E2F" w:rsidRPr="00B51A37" w:rsidRDefault="001C6E2F" w:rsidP="00AF2BD3">
                  <w:pPr>
                    <w:jc w:val="center"/>
                    <w:rPr>
                      <w:rFonts w:eastAsia="Times New Roman"/>
                      <w:sz w:val="16"/>
                      <w:szCs w:val="16"/>
                      <w:lang w:val="uk-UA"/>
                    </w:rPr>
                  </w:pPr>
                  <w:r w:rsidRPr="00B51A37">
                    <w:rPr>
                      <w:rFonts w:eastAsia="Times New Roman"/>
                      <w:sz w:val="16"/>
                      <w:szCs w:val="16"/>
                    </w:rPr>
                    <w:t xml:space="preserve">По </w:t>
                  </w:r>
                  <w:proofErr w:type="spellStart"/>
                  <w:r w:rsidRPr="00B51A37">
                    <w:rPr>
                      <w:rFonts w:eastAsia="Times New Roman"/>
                      <w:sz w:val="16"/>
                      <w:szCs w:val="16"/>
                    </w:rPr>
                    <w:t>мірі</w:t>
                  </w:r>
                  <w:proofErr w:type="spellEnd"/>
                  <w:r w:rsidRPr="00B51A37">
                    <w:rPr>
                      <w:rFonts w:eastAsia="Times New Roman"/>
                      <w:sz w:val="16"/>
                      <w:szCs w:val="16"/>
                    </w:rPr>
                    <w:t xml:space="preserve"> </w:t>
                  </w:r>
                  <w:proofErr w:type="spellStart"/>
                  <w:r w:rsidRPr="00B51A37">
                    <w:rPr>
                      <w:rFonts w:eastAsia="Times New Roman"/>
                      <w:sz w:val="16"/>
                      <w:szCs w:val="16"/>
                    </w:rPr>
                    <w:t>утворення</w:t>
                  </w:r>
                  <w:proofErr w:type="spellEnd"/>
                </w:p>
              </w:tc>
            </w:tr>
            <w:bookmarkEnd w:id="0"/>
          </w:tbl>
          <w:p w14:paraId="7BCF8A04" w14:textId="77777777" w:rsidR="00F3516D" w:rsidRPr="00B51A37" w:rsidRDefault="00F3516D" w:rsidP="00AF2BD3">
            <w:pPr>
              <w:pBdr>
                <w:top w:val="nil"/>
                <w:left w:val="nil"/>
                <w:bottom w:val="nil"/>
                <w:right w:val="nil"/>
                <w:between w:val="nil"/>
              </w:pBdr>
              <w:tabs>
                <w:tab w:val="left" w:pos="319"/>
              </w:tabs>
              <w:ind w:left="177"/>
              <w:jc w:val="both"/>
              <w:rPr>
                <w:rFonts w:eastAsia="Times New Roman"/>
                <w:color w:val="000000"/>
                <w:sz w:val="16"/>
                <w:szCs w:val="16"/>
                <w:lang w:val="uk-UA"/>
              </w:rPr>
            </w:pPr>
          </w:p>
          <w:p w14:paraId="7F3D32CD"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bCs/>
                <w:color w:val="000000"/>
                <w:sz w:val="16"/>
                <w:szCs w:val="16"/>
                <w:lang w:val="uk-UA"/>
              </w:rPr>
            </w:pPr>
            <w:r w:rsidRPr="00674D13">
              <w:rPr>
                <w:rFonts w:eastAsia="Times New Roman"/>
                <w:bCs/>
                <w:color w:val="000000"/>
                <w:sz w:val="16"/>
                <w:szCs w:val="16"/>
                <w:lang w:val="uk-UA"/>
              </w:rPr>
              <w:t xml:space="preserve">виконавець </w:t>
            </w:r>
            <w:bookmarkStart w:id="1" w:name="_Hlk185423415"/>
            <w:r w:rsidRPr="00674D13">
              <w:rPr>
                <w:rFonts w:eastAsia="Times New Roman"/>
                <w:bCs/>
                <w:color w:val="000000"/>
                <w:sz w:val="16"/>
                <w:szCs w:val="16"/>
                <w:lang w:val="uk-UA"/>
              </w:rPr>
              <w:t xml:space="preserve">для первинного * пакування надає замовнику тару – контейнери </w:t>
            </w:r>
            <w:r w:rsidRPr="00674D13">
              <w:rPr>
                <w:rFonts w:eastAsia="Times New Roman"/>
                <w:color w:val="000000"/>
                <w:sz w:val="16"/>
                <w:szCs w:val="16"/>
                <w:lang w:val="uk-UA"/>
              </w:rPr>
              <w:t>для збирання медичних відходів категорії В, С</w:t>
            </w:r>
            <w:r w:rsidRPr="00674D13">
              <w:rPr>
                <w:rFonts w:eastAsia="Times New Roman"/>
                <w:bCs/>
                <w:color w:val="000000"/>
                <w:sz w:val="16"/>
                <w:szCs w:val="16"/>
                <w:lang w:val="uk-UA"/>
              </w:rPr>
              <w:t>, стійкі до проколів і відповідають Технічному регламенту з підтвердження відповідності пакування.</w:t>
            </w:r>
          </w:p>
          <w:p w14:paraId="69D2DDA7"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bCs/>
                <w:color w:val="000000"/>
                <w:sz w:val="16"/>
                <w:szCs w:val="16"/>
                <w:lang w:val="uk-UA"/>
              </w:rPr>
            </w:pPr>
            <w:r w:rsidRPr="00674D13">
              <w:rPr>
                <w:rFonts w:eastAsia="Times New Roman"/>
                <w:bCs/>
                <w:color w:val="000000"/>
                <w:sz w:val="16"/>
                <w:szCs w:val="16"/>
                <w:lang w:val="uk-UA"/>
              </w:rPr>
              <w:t xml:space="preserve">виконавець для вторинного ** пакування медичних відходів категорії В, С надає замовнику тару – пластикові спеціальні мішки/пакети на 50л, розміром 500 x 1000 мм, товщиною не менше 100 </w:t>
            </w:r>
            <w:proofErr w:type="spellStart"/>
            <w:r w:rsidRPr="00674D13">
              <w:rPr>
                <w:rFonts w:eastAsia="Times New Roman"/>
                <w:bCs/>
                <w:color w:val="000000"/>
                <w:sz w:val="16"/>
                <w:szCs w:val="16"/>
                <w:lang w:val="uk-UA"/>
              </w:rPr>
              <w:t>мкм</w:t>
            </w:r>
            <w:proofErr w:type="spellEnd"/>
            <w:r w:rsidRPr="00674D13">
              <w:rPr>
                <w:rFonts w:eastAsia="Times New Roman"/>
                <w:bCs/>
                <w:color w:val="000000"/>
                <w:sz w:val="16"/>
                <w:szCs w:val="16"/>
                <w:lang w:val="uk-UA"/>
              </w:rPr>
              <w:t xml:space="preserve"> і  відповідають Технічному регламенту з підтвердження відповідності пакування</w:t>
            </w:r>
          </w:p>
          <w:p w14:paraId="598E412F"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b/>
                <w:bCs/>
                <w:color w:val="000000"/>
                <w:sz w:val="16"/>
                <w:szCs w:val="16"/>
                <w:lang w:val="uk-UA"/>
              </w:rPr>
            </w:pPr>
            <w:bookmarkStart w:id="2" w:name="_gjdgxs" w:colFirst="0" w:colLast="0"/>
            <w:bookmarkEnd w:id="1"/>
            <w:bookmarkEnd w:id="2"/>
            <w:r w:rsidRPr="00674D13">
              <w:rPr>
                <w:rFonts w:eastAsia="Times New Roman"/>
                <w:b/>
                <w:bCs/>
                <w:color w:val="000000"/>
                <w:sz w:val="16"/>
                <w:szCs w:val="16"/>
                <w:lang w:val="uk-UA"/>
              </w:rPr>
              <w:t>МАРКУВАННЯ ВТОРИННОГО ПАКОВАННЯ</w:t>
            </w:r>
          </w:p>
          <w:p w14:paraId="41678908"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p>
          <w:tbl>
            <w:tblPr>
              <w:tblW w:w="0" w:type="auto"/>
              <w:tblBorders>
                <w:top w:val="single" w:sz="4" w:space="0" w:color="000000"/>
                <w:left w:val="single" w:sz="4" w:space="0" w:color="000000"/>
                <w:bottom w:val="single" w:sz="4" w:space="0" w:color="000000"/>
                <w:right w:val="single" w:sz="4" w:space="0" w:color="000000"/>
                <w:insideH w:val="nil"/>
                <w:insideV w:val="nil"/>
              </w:tblBorders>
              <w:tblLook w:val="0000" w:firstRow="0" w:lastRow="0" w:firstColumn="0" w:lastColumn="0" w:noHBand="0" w:noVBand="0"/>
            </w:tblPr>
            <w:tblGrid>
              <w:gridCol w:w="2161"/>
              <w:gridCol w:w="4978"/>
            </w:tblGrid>
            <w:tr w:rsidR="00674D13" w:rsidRPr="00674D13" w14:paraId="70944662" w14:textId="77777777" w:rsidTr="00AF2BD3">
              <w:trPr>
                <w:trHeight w:val="224"/>
              </w:trPr>
              <w:tc>
                <w:tcPr>
                  <w:tcW w:w="2335" w:type="dxa"/>
                  <w:tcBorders>
                    <w:top w:val="single" w:sz="6" w:space="0" w:color="000000"/>
                    <w:left w:val="single" w:sz="6" w:space="0" w:color="000000"/>
                    <w:bottom w:val="single" w:sz="6" w:space="0" w:color="000000"/>
                    <w:right w:val="single" w:sz="6" w:space="0" w:color="000000"/>
                  </w:tcBorders>
                  <w:vAlign w:val="center"/>
                </w:tcPr>
                <w:p w14:paraId="3C00D365"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Медичні відходи категорії B</w:t>
                  </w:r>
                </w:p>
              </w:tc>
              <w:tc>
                <w:tcPr>
                  <w:tcW w:w="5488" w:type="dxa"/>
                  <w:tcBorders>
                    <w:top w:val="single" w:sz="6" w:space="0" w:color="000000"/>
                    <w:left w:val="single" w:sz="6" w:space="0" w:color="000000"/>
                    <w:bottom w:val="single" w:sz="6" w:space="0" w:color="000000"/>
                    <w:right w:val="single" w:sz="6" w:space="0" w:color="000000"/>
                  </w:tcBorders>
                </w:tcPr>
                <w:p w14:paraId="06BA9B38"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Напис для маркування:</w:t>
                  </w:r>
                </w:p>
                <w:p w14:paraId="3FE1586F"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"Особливо небезпечно"</w:t>
                  </w:r>
                </w:p>
                <w:p w14:paraId="430A70CB" w14:textId="77777777" w:rsidR="00674D13" w:rsidRPr="00674D13" w:rsidRDefault="00674D13" w:rsidP="00AF2BD3">
                  <w:pPr>
                    <w:pBdr>
                      <w:top w:val="nil"/>
                      <w:left w:val="nil"/>
                      <w:bottom w:val="nil"/>
                      <w:right w:val="nil"/>
                      <w:between w:val="nil"/>
                    </w:pBdr>
                    <w:tabs>
                      <w:tab w:val="left" w:pos="319"/>
                    </w:tabs>
                    <w:ind w:left="177"/>
                    <w:jc w:val="center"/>
                    <w:rPr>
                      <w:rFonts w:eastAsia="Times New Roman"/>
                      <w:color w:val="000000"/>
                      <w:sz w:val="16"/>
                      <w:szCs w:val="16"/>
                      <w:lang w:val="uk-UA"/>
                    </w:rPr>
                  </w:pPr>
                  <w:hyperlink r:id="rId7">
                    <w:r w:rsidRPr="00674D13">
                      <w:rPr>
                        <w:rStyle w:val="ac"/>
                        <w:rFonts w:eastAsia="Times New Roman"/>
                        <w:sz w:val="16"/>
                        <w:szCs w:val="16"/>
                        <w:lang w:val="uk-UA"/>
                      </w:rPr>
                      <w:drawing>
                        <wp:inline distT="0" distB="0" distL="114300" distR="114300" wp14:anchorId="7DEAF061" wp14:editId="3914A729">
                          <wp:extent cx="558525" cy="428161"/>
                          <wp:effectExtent l="0" t="0" r="0" b="0"/>
                          <wp:docPr id="3" name="image3.png" descr="Описание: https://zakon.rada.gov.ua/laws/file/imgs/102/p446642n392.gif"/>
                          <wp:cNvGraphicFramePr/>
                          <a:graphic xmlns:a="http://schemas.openxmlformats.org/drawingml/2006/main">
                            <a:graphicData uri="http://schemas.openxmlformats.org/drawingml/2006/picture">
                              <pic:pic xmlns:pic="http://schemas.openxmlformats.org/drawingml/2006/picture">
                                <pic:nvPicPr>
                                  <pic:cNvPr id="0" name="image3.png" descr="Описание: https://zakon.rada.gov.ua/laws/file/imgs/102/p446642n392.gif"/>
                                  <pic:cNvPicPr preferRelativeResize="0"/>
                                </pic:nvPicPr>
                                <pic:blipFill>
                                  <a:blip r:embed="rId8"/>
                                  <a:srcRect/>
                                  <a:stretch>
                                    <a:fillRect/>
                                  </a:stretch>
                                </pic:blipFill>
                                <pic:spPr>
                                  <a:xfrm>
                                    <a:off x="0" y="0"/>
                                    <a:ext cx="560992" cy="430052"/>
                                  </a:xfrm>
                                  <a:prstGeom prst="rect">
                                    <a:avLst/>
                                  </a:prstGeom>
                                  <a:ln/>
                                </pic:spPr>
                              </pic:pic>
                            </a:graphicData>
                          </a:graphic>
                        </wp:inline>
                      </w:drawing>
                    </w:r>
                  </w:hyperlink>
                </w:p>
                <w:p w14:paraId="0295E6C1"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 xml:space="preserve">«назва суб'єкта господарювання, якому передані відходи» </w:t>
                  </w:r>
                </w:p>
                <w:p w14:paraId="4BC226C5"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 xml:space="preserve">«дата передавання» </w:t>
                  </w:r>
                </w:p>
                <w:p w14:paraId="7256374C"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«вага переданих відходів в кг»</w:t>
                  </w:r>
                </w:p>
              </w:tc>
            </w:tr>
            <w:tr w:rsidR="00674D13" w:rsidRPr="00674D13" w14:paraId="44E8B257" w14:textId="77777777" w:rsidTr="00AF2BD3">
              <w:trPr>
                <w:trHeight w:val="36"/>
              </w:trPr>
              <w:tc>
                <w:tcPr>
                  <w:tcW w:w="2335" w:type="dxa"/>
                  <w:tcBorders>
                    <w:top w:val="single" w:sz="6" w:space="0" w:color="000000"/>
                    <w:left w:val="single" w:sz="6" w:space="0" w:color="000000"/>
                    <w:bottom w:val="single" w:sz="6" w:space="0" w:color="000000"/>
                    <w:right w:val="single" w:sz="6" w:space="0" w:color="000000"/>
                  </w:tcBorders>
                  <w:vAlign w:val="center"/>
                </w:tcPr>
                <w:p w14:paraId="035D0D79"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Медичні відходи категорії C</w:t>
                  </w:r>
                </w:p>
              </w:tc>
              <w:tc>
                <w:tcPr>
                  <w:tcW w:w="5488" w:type="dxa"/>
                  <w:tcBorders>
                    <w:top w:val="single" w:sz="6" w:space="0" w:color="000000"/>
                    <w:left w:val="single" w:sz="6" w:space="0" w:color="000000"/>
                    <w:bottom w:val="single" w:sz="6" w:space="0" w:color="000000"/>
                    <w:right w:val="single" w:sz="6" w:space="0" w:color="000000"/>
                  </w:tcBorders>
                </w:tcPr>
                <w:p w14:paraId="23DA95C7"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Напис для маркування:</w:t>
                  </w:r>
                </w:p>
                <w:p w14:paraId="13B0BD53"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"Особливо небезпечно"</w:t>
                  </w:r>
                </w:p>
                <w:p w14:paraId="7E5BDE4F" w14:textId="4A3A3098" w:rsidR="00674D13" w:rsidRPr="00674D13" w:rsidRDefault="00674D13" w:rsidP="00AF2BD3">
                  <w:pPr>
                    <w:pBdr>
                      <w:top w:val="nil"/>
                      <w:left w:val="nil"/>
                      <w:bottom w:val="nil"/>
                      <w:right w:val="nil"/>
                      <w:between w:val="nil"/>
                    </w:pBdr>
                    <w:tabs>
                      <w:tab w:val="left" w:pos="319"/>
                    </w:tabs>
                    <w:ind w:left="177"/>
                    <w:jc w:val="center"/>
                    <w:rPr>
                      <w:rFonts w:eastAsia="Times New Roman"/>
                      <w:color w:val="000000"/>
                      <w:sz w:val="16"/>
                      <w:szCs w:val="16"/>
                      <w:lang w:val="uk-UA"/>
                    </w:rPr>
                  </w:pPr>
                  <w:hyperlink r:id="rId9">
                    <w:r w:rsidRPr="00674D13">
                      <w:rPr>
                        <w:rStyle w:val="ac"/>
                        <w:rFonts w:eastAsia="Times New Roman"/>
                        <w:sz w:val="16"/>
                        <w:szCs w:val="16"/>
                        <w:lang w:val="uk-UA"/>
                      </w:rPr>
                      <w:drawing>
                        <wp:inline distT="0" distB="0" distL="114300" distR="114300" wp14:anchorId="685D955A" wp14:editId="69378625">
                          <wp:extent cx="667265" cy="559126"/>
                          <wp:effectExtent l="0" t="0" r="0" b="0"/>
                          <wp:docPr id="2" name="image2.png" descr="Описание: https://zakon.rada.gov.ua/laws/file/imgs/102/p446642n392-6.gif"/>
                          <wp:cNvGraphicFramePr/>
                          <a:graphic xmlns:a="http://schemas.openxmlformats.org/drawingml/2006/main">
                            <a:graphicData uri="http://schemas.openxmlformats.org/drawingml/2006/picture">
                              <pic:pic xmlns:pic="http://schemas.openxmlformats.org/drawingml/2006/picture">
                                <pic:nvPicPr>
                                  <pic:cNvPr id="0" name="image2.png" descr="Описание: https://zakon.rada.gov.ua/laws/file/imgs/102/p446642n392-6.gif"/>
                                  <pic:cNvPicPr preferRelativeResize="0"/>
                                </pic:nvPicPr>
                                <pic:blipFill>
                                  <a:blip r:embed="rId10"/>
                                  <a:srcRect/>
                                  <a:stretch>
                                    <a:fillRect/>
                                  </a:stretch>
                                </pic:blipFill>
                                <pic:spPr>
                                  <a:xfrm>
                                    <a:off x="0" y="0"/>
                                    <a:ext cx="677083" cy="567353"/>
                                  </a:xfrm>
                                  <a:prstGeom prst="rect">
                                    <a:avLst/>
                                  </a:prstGeom>
                                  <a:ln/>
                                </pic:spPr>
                              </pic:pic>
                            </a:graphicData>
                          </a:graphic>
                        </wp:inline>
                      </w:drawing>
                    </w:r>
                  </w:hyperlink>
                  <w:r w:rsidRPr="00674D13">
                    <w:rPr>
                      <w:rFonts w:eastAsia="Times New Roman"/>
                      <w:color w:val="000000"/>
                      <w:sz w:val="16"/>
                      <w:szCs w:val="16"/>
                      <w:lang w:val="uk-UA"/>
                    </w:rPr>
                    <w:br/>
                    <w:t>«назва суб'єкта господарювання, якому передані відходи»</w:t>
                  </w:r>
                </w:p>
                <w:p w14:paraId="256C6FA4"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 xml:space="preserve">«дата передавання» </w:t>
                  </w:r>
                </w:p>
                <w:p w14:paraId="4C03B2A1" w14:textId="77777777" w:rsidR="00674D13" w:rsidRPr="00674D13" w:rsidRDefault="00674D13" w:rsidP="00AF2BD3">
                  <w:pPr>
                    <w:pBdr>
                      <w:top w:val="nil"/>
                      <w:left w:val="nil"/>
                      <w:bottom w:val="nil"/>
                      <w:right w:val="nil"/>
                      <w:between w:val="nil"/>
                    </w:pBdr>
                    <w:tabs>
                      <w:tab w:val="left" w:pos="319"/>
                    </w:tabs>
                    <w:ind w:left="177"/>
                    <w:jc w:val="both"/>
                    <w:rPr>
                      <w:rFonts w:eastAsia="Times New Roman"/>
                      <w:color w:val="000000"/>
                      <w:sz w:val="16"/>
                      <w:szCs w:val="16"/>
                      <w:lang w:val="uk-UA"/>
                    </w:rPr>
                  </w:pPr>
                  <w:r w:rsidRPr="00674D13">
                    <w:rPr>
                      <w:rFonts w:eastAsia="Times New Roman"/>
                      <w:color w:val="000000"/>
                      <w:sz w:val="16"/>
                      <w:szCs w:val="16"/>
                      <w:lang w:val="uk-UA"/>
                    </w:rPr>
                    <w:t>«вага переданих відходів в кг»</w:t>
                  </w:r>
                </w:p>
              </w:tc>
            </w:tr>
          </w:tbl>
          <w:p w14:paraId="286C0FF3" w14:textId="04D525E9" w:rsidR="001C6E2F" w:rsidRPr="00B51A37" w:rsidRDefault="001C6E2F" w:rsidP="00AF2BD3">
            <w:pPr>
              <w:pBdr>
                <w:top w:val="nil"/>
                <w:left w:val="nil"/>
                <w:bottom w:val="nil"/>
                <w:right w:val="nil"/>
                <w:between w:val="nil"/>
              </w:pBdr>
              <w:tabs>
                <w:tab w:val="left" w:pos="319"/>
              </w:tabs>
              <w:ind w:left="177"/>
              <w:jc w:val="both"/>
              <w:rPr>
                <w:rFonts w:eastAsia="Times New Roman"/>
                <w:color w:val="000000"/>
                <w:sz w:val="16"/>
                <w:szCs w:val="16"/>
                <w:lang w:val="uk-UA"/>
              </w:rPr>
            </w:pPr>
          </w:p>
        </w:tc>
      </w:tr>
      <w:tr w:rsidR="00F3516D" w:rsidRPr="00E5657A" w14:paraId="10645066" w14:textId="77777777" w:rsidTr="00B51A37">
        <w:tc>
          <w:tcPr>
            <w:tcW w:w="405" w:type="dxa"/>
            <w:tcBorders>
              <w:top w:val="single" w:sz="4" w:space="0" w:color="000000"/>
              <w:left w:val="single" w:sz="4" w:space="0" w:color="000000"/>
              <w:bottom w:val="single" w:sz="4" w:space="0" w:color="000000"/>
              <w:right w:val="single" w:sz="4" w:space="0" w:color="000000"/>
            </w:tcBorders>
          </w:tcPr>
          <w:p w14:paraId="7F3C3F9D" w14:textId="77777777" w:rsidR="00F3516D" w:rsidRPr="00EC0DBE" w:rsidRDefault="00EC0DBE" w:rsidP="00AF2BD3">
            <w:pPr>
              <w:pBdr>
                <w:top w:val="nil"/>
                <w:left w:val="nil"/>
                <w:bottom w:val="nil"/>
                <w:right w:val="nil"/>
                <w:between w:val="nil"/>
              </w:pBdr>
              <w:jc w:val="both"/>
              <w:rPr>
                <w:rFonts w:ascii="Calibri" w:eastAsia="Calibri" w:hAnsi="Calibri" w:cs="Calibri"/>
                <w:color w:val="000000"/>
                <w:sz w:val="22"/>
                <w:szCs w:val="22"/>
                <w:lang w:val="uk-UA"/>
              </w:rPr>
            </w:pPr>
            <w:r w:rsidRPr="00EC0DBE">
              <w:rPr>
                <w:color w:val="000000"/>
                <w:sz w:val="22"/>
                <w:szCs w:val="22"/>
                <w:lang w:val="uk-UA"/>
              </w:rPr>
              <w:lastRenderedPageBreak/>
              <w:t>3</w:t>
            </w:r>
          </w:p>
        </w:tc>
        <w:tc>
          <w:tcPr>
            <w:tcW w:w="2142" w:type="dxa"/>
            <w:tcBorders>
              <w:top w:val="single" w:sz="4" w:space="0" w:color="000000"/>
              <w:left w:val="single" w:sz="4" w:space="0" w:color="000000"/>
              <w:bottom w:val="single" w:sz="4" w:space="0" w:color="000000"/>
              <w:right w:val="single" w:sz="4" w:space="0" w:color="000000"/>
            </w:tcBorders>
          </w:tcPr>
          <w:p w14:paraId="45615C60" w14:textId="77777777" w:rsidR="00F3516D" w:rsidRPr="00EC0DBE" w:rsidRDefault="00EC0DBE" w:rsidP="00AF2BD3">
            <w:pPr>
              <w:pBdr>
                <w:top w:val="nil"/>
                <w:left w:val="nil"/>
                <w:bottom w:val="nil"/>
                <w:right w:val="nil"/>
                <w:between w:val="nil"/>
              </w:pBdr>
              <w:rPr>
                <w:color w:val="000000"/>
                <w:sz w:val="22"/>
                <w:szCs w:val="22"/>
                <w:lang w:val="uk-UA"/>
              </w:rPr>
            </w:pPr>
            <w:r w:rsidRPr="00EC0DBE">
              <w:rPr>
                <w:color w:val="000000"/>
                <w:sz w:val="22"/>
                <w:szCs w:val="22"/>
                <w:lang w:val="uk-UA"/>
              </w:rPr>
              <w:t>Обґрунтування очікуваної вартості предмета закупівлі, розміру бюджетного призначення</w:t>
            </w:r>
          </w:p>
        </w:tc>
        <w:tc>
          <w:tcPr>
            <w:tcW w:w="8227" w:type="dxa"/>
            <w:tcBorders>
              <w:top w:val="single" w:sz="4" w:space="0" w:color="000000"/>
              <w:left w:val="single" w:sz="4" w:space="0" w:color="000000"/>
              <w:bottom w:val="single" w:sz="4" w:space="0" w:color="000000"/>
              <w:right w:val="single" w:sz="4" w:space="0" w:color="000000"/>
            </w:tcBorders>
          </w:tcPr>
          <w:p w14:paraId="32EC209E" w14:textId="77777777" w:rsidR="00670E41" w:rsidRDefault="00EC0DBE" w:rsidP="00AF2BD3">
            <w:pPr>
              <w:pBdr>
                <w:top w:val="nil"/>
                <w:left w:val="nil"/>
                <w:bottom w:val="nil"/>
                <w:right w:val="nil"/>
                <w:between w:val="nil"/>
              </w:pBdr>
              <w:tabs>
                <w:tab w:val="left" w:pos="319"/>
              </w:tabs>
              <w:jc w:val="both"/>
              <w:rPr>
                <w:color w:val="000000"/>
                <w:sz w:val="22"/>
                <w:szCs w:val="22"/>
                <w:lang w:val="uk-UA"/>
              </w:rPr>
            </w:pPr>
            <w:r w:rsidRPr="00EC0DBE">
              <w:rPr>
                <w:color w:val="000000"/>
                <w:sz w:val="22"/>
                <w:szCs w:val="22"/>
                <w:lang w:val="uk-UA"/>
              </w:rPr>
              <w:t>Очікувана вартість виконано відповідно до розділу III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w:t>
            </w:r>
            <w:r w:rsidR="00670E41">
              <w:rPr>
                <w:color w:val="000000"/>
                <w:sz w:val="22"/>
                <w:szCs w:val="22"/>
                <w:lang w:val="uk-UA"/>
              </w:rPr>
              <w:t>.</w:t>
            </w:r>
          </w:p>
          <w:p w14:paraId="32C1D510" w14:textId="2734E2C3" w:rsidR="00F3516D" w:rsidRPr="00B35130" w:rsidRDefault="00EC0DBE" w:rsidP="00AF2BD3">
            <w:pPr>
              <w:pBdr>
                <w:top w:val="nil"/>
                <w:left w:val="nil"/>
                <w:bottom w:val="nil"/>
                <w:right w:val="nil"/>
                <w:between w:val="nil"/>
              </w:pBdr>
              <w:tabs>
                <w:tab w:val="left" w:pos="319"/>
              </w:tabs>
              <w:jc w:val="both"/>
              <w:rPr>
                <w:color w:val="000000"/>
                <w:sz w:val="22"/>
                <w:szCs w:val="22"/>
                <w:lang w:val="uk-UA"/>
              </w:rPr>
            </w:pPr>
            <w:r w:rsidRPr="00B35130">
              <w:rPr>
                <w:color w:val="000000"/>
                <w:sz w:val="22"/>
                <w:szCs w:val="22"/>
                <w:lang w:val="uk-UA"/>
              </w:rPr>
              <w:t>Розмір бюджетного призначення для предмета закупівлі не передбачається.</w:t>
            </w:r>
          </w:p>
          <w:p w14:paraId="511792B7" w14:textId="037F6A74" w:rsidR="00F3516D" w:rsidRPr="00545A61" w:rsidRDefault="00B35130" w:rsidP="00AF2BD3">
            <w:pPr>
              <w:pBdr>
                <w:top w:val="nil"/>
                <w:left w:val="nil"/>
                <w:bottom w:val="nil"/>
                <w:right w:val="nil"/>
                <w:between w:val="nil"/>
              </w:pBdr>
              <w:tabs>
                <w:tab w:val="left" w:pos="319"/>
              </w:tabs>
              <w:jc w:val="both"/>
              <w:rPr>
                <w:b/>
                <w:bCs/>
                <w:color w:val="000000"/>
                <w:sz w:val="22"/>
                <w:szCs w:val="22"/>
                <w:lang w:val="uk-UA"/>
              </w:rPr>
            </w:pPr>
            <w:r w:rsidRPr="00545A61">
              <w:rPr>
                <w:b/>
                <w:bCs/>
                <w:color w:val="000000"/>
                <w:sz w:val="22"/>
                <w:szCs w:val="22"/>
                <w:lang w:val="uk-UA"/>
              </w:rPr>
              <w:t xml:space="preserve">Очікувана вартість закупівлі </w:t>
            </w:r>
            <w:r w:rsidR="00545A61" w:rsidRPr="00545A61">
              <w:rPr>
                <w:b/>
                <w:bCs/>
                <w:color w:val="000000"/>
                <w:sz w:val="22"/>
                <w:szCs w:val="22"/>
                <w:lang w:val="uk-UA"/>
              </w:rPr>
              <w:t>3 458 334,00</w:t>
            </w:r>
            <w:r w:rsidR="00545A61" w:rsidRPr="00545A61">
              <w:rPr>
                <w:b/>
                <w:bCs/>
                <w:color w:val="000000"/>
                <w:sz w:val="22"/>
                <w:szCs w:val="22"/>
                <w:lang w:val="uk-UA"/>
              </w:rPr>
              <w:t xml:space="preserve"> </w:t>
            </w:r>
            <w:r w:rsidRPr="00545A61">
              <w:rPr>
                <w:b/>
                <w:bCs/>
                <w:color w:val="000000"/>
                <w:sz w:val="22"/>
                <w:szCs w:val="22"/>
                <w:lang w:val="uk-UA"/>
              </w:rPr>
              <w:t>грн.</w:t>
            </w:r>
            <w:r w:rsidR="00670E41" w:rsidRPr="00545A61">
              <w:rPr>
                <w:b/>
                <w:bCs/>
                <w:color w:val="000000"/>
                <w:sz w:val="22"/>
                <w:szCs w:val="22"/>
                <w:lang w:val="uk-UA"/>
              </w:rPr>
              <w:t xml:space="preserve"> з ПДВ.</w:t>
            </w:r>
          </w:p>
        </w:tc>
      </w:tr>
    </w:tbl>
    <w:p w14:paraId="5B28E0D0" w14:textId="77777777" w:rsidR="00F3516D" w:rsidRPr="00EC0DBE" w:rsidRDefault="00F3516D" w:rsidP="00AF2BD3">
      <w:pPr>
        <w:pBdr>
          <w:top w:val="nil"/>
          <w:left w:val="nil"/>
          <w:bottom w:val="nil"/>
          <w:right w:val="nil"/>
          <w:between w:val="nil"/>
        </w:pBdr>
        <w:tabs>
          <w:tab w:val="left" w:pos="1970"/>
        </w:tabs>
        <w:jc w:val="both"/>
        <w:rPr>
          <w:lang w:val="uk-UA"/>
        </w:rPr>
      </w:pPr>
    </w:p>
    <w:sectPr w:rsidR="00F3516D" w:rsidRPr="00EC0DBE">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5721F"/>
    <w:multiLevelType w:val="multilevel"/>
    <w:tmpl w:val="C6740A4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AB5E6D"/>
    <w:multiLevelType w:val="multilevel"/>
    <w:tmpl w:val="7A4E7D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DF51F8B"/>
    <w:multiLevelType w:val="hybridMultilevel"/>
    <w:tmpl w:val="E2183F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3DE6787"/>
    <w:multiLevelType w:val="hybridMultilevel"/>
    <w:tmpl w:val="F028C622"/>
    <w:lvl w:ilvl="0" w:tplc="78141A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5430383">
    <w:abstractNumId w:val="1"/>
  </w:num>
  <w:num w:numId="2" w16cid:durableId="1879928881">
    <w:abstractNumId w:val="0"/>
  </w:num>
  <w:num w:numId="3" w16cid:durableId="296108105">
    <w:abstractNumId w:val="2"/>
  </w:num>
  <w:num w:numId="4" w16cid:durableId="9085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6D"/>
    <w:rsid w:val="00013AB9"/>
    <w:rsid w:val="001C6E2F"/>
    <w:rsid w:val="00445848"/>
    <w:rsid w:val="004B3A79"/>
    <w:rsid w:val="00545A61"/>
    <w:rsid w:val="005E3D23"/>
    <w:rsid w:val="00670E41"/>
    <w:rsid w:val="00674D13"/>
    <w:rsid w:val="007A0487"/>
    <w:rsid w:val="0099274B"/>
    <w:rsid w:val="00AF2BD3"/>
    <w:rsid w:val="00B35130"/>
    <w:rsid w:val="00B51A37"/>
    <w:rsid w:val="00B53A08"/>
    <w:rsid w:val="00D2117A"/>
    <w:rsid w:val="00E5657A"/>
    <w:rsid w:val="00EC0DBE"/>
    <w:rsid w:val="00ED4C78"/>
    <w:rsid w:val="00F13D50"/>
    <w:rsid w:val="00F351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8980"/>
  <w15:docId w15:val="{4B9FF024-A9DE-43E9-AE2D-0FE5471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BF7"/>
    <w:rPr>
      <w:rFonts w:eastAsia="Arial Unicode MS"/>
      <w:lang w:val="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link w:val="a5"/>
    <w:unhideWhenUsed/>
    <w:rsid w:val="00A11BF7"/>
    <w:pPr>
      <w:spacing w:after="200" w:line="276" w:lineRule="auto"/>
    </w:pPr>
    <w:rPr>
      <w:rFonts w:ascii="Calibri" w:eastAsia="Arial Unicode MS" w:hAnsi="Calibri" w:cs="Arial Unicode MS"/>
      <w:color w:val="000000"/>
      <w:u w:color="000000"/>
      <w:lang w:eastAsia="uk-UA"/>
      <w14:textOutline w14:w="0" w14:cap="flat" w14:cmpd="sng" w14:algn="ctr">
        <w14:noFill/>
        <w14:prstDash w14:val="solid"/>
        <w14:bevel/>
      </w14:textOutline>
    </w:rPr>
  </w:style>
  <w:style w:type="character" w:customStyle="1" w:styleId="a5">
    <w:name w:val="Основний текст Знак"/>
    <w:basedOn w:val="a0"/>
    <w:link w:val="a4"/>
    <w:rsid w:val="00A11BF7"/>
    <w:rPr>
      <w:rFonts w:ascii="Calibri" w:eastAsia="Arial Unicode MS" w:hAnsi="Calibri" w:cs="Arial Unicode MS"/>
      <w:color w:val="000000"/>
      <w:u w:color="000000"/>
      <w:lang w:eastAsia="uk-UA"/>
      <w14:textOutline w14:w="0" w14:cap="flat" w14:cmpd="sng" w14:algn="ctr">
        <w14:noFill/>
        <w14:prstDash w14:val="solid"/>
        <w14:bevel/>
      </w14:textOutline>
    </w:rPr>
  </w:style>
  <w:style w:type="character" w:customStyle="1" w:styleId="a6">
    <w:name w:val="Немає"/>
    <w:rsid w:val="00A11BF7"/>
  </w:style>
  <w:style w:type="table" w:styleId="a7">
    <w:name w:val="Table Grid"/>
    <w:basedOn w:val="a1"/>
    <w:uiPriority w:val="39"/>
    <w:rsid w:val="00A11B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B3D8F"/>
    <w:pPr>
      <w:ind w:left="720"/>
      <w:contextualSpacing/>
    </w:p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character" w:styleId="ac">
    <w:name w:val="Hyperlink"/>
    <w:basedOn w:val="a0"/>
    <w:uiPriority w:val="99"/>
    <w:unhideWhenUsed/>
    <w:rsid w:val="00B53A08"/>
    <w:rPr>
      <w:color w:val="0563C1" w:themeColor="hyperlink"/>
      <w:u w:val="single"/>
    </w:rPr>
  </w:style>
  <w:style w:type="character" w:styleId="ad">
    <w:name w:val="Unresolved Mention"/>
    <w:basedOn w:val="a0"/>
    <w:uiPriority w:val="99"/>
    <w:semiHidden/>
    <w:unhideWhenUsed/>
    <w:rsid w:val="00B53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83284">
      <w:bodyDiv w:val="1"/>
      <w:marLeft w:val="0"/>
      <w:marRight w:val="0"/>
      <w:marTop w:val="0"/>
      <w:marBottom w:val="0"/>
      <w:divBdr>
        <w:top w:val="none" w:sz="0" w:space="0" w:color="auto"/>
        <w:left w:val="none" w:sz="0" w:space="0" w:color="auto"/>
        <w:bottom w:val="none" w:sz="0" w:space="0" w:color="auto"/>
        <w:right w:val="none" w:sz="0" w:space="0" w:color="auto"/>
      </w:divBdr>
    </w:div>
    <w:div w:id="147602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zakon.rada.gov.ua/laws/file/imgs/102/p446642n392.bm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4-12-20-004634-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zakon.rada.gov.ua/laws/file/imgs/102/p446642n392-6.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FBhhuYbWGtpGZ3sDwnfvzOBa7A==">CgMxLjAyCWlkLmdqZGd4czgAciExRnJ6c0djSlRaSHlyTHFnWkNrTThMa3NYLTJVaUg0V00=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5429</Words>
  <Characters>3096</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Іларіон Улич</dc:creator>
  <cp:lastModifiedBy>Едуард Оскольський</cp:lastModifiedBy>
  <cp:revision>5</cp:revision>
  <dcterms:created xsi:type="dcterms:W3CDTF">2024-12-28T07:53:00Z</dcterms:created>
  <dcterms:modified xsi:type="dcterms:W3CDTF">2024-12-28T08:22:00Z</dcterms:modified>
</cp:coreProperties>
</file>