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A88A" w14:textId="77777777" w:rsidR="00F3516D" w:rsidRDefault="00EC0D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2"/>
          <w:szCs w:val="22"/>
          <w:lang w:val="uk-UA"/>
        </w:rPr>
      </w:pPr>
      <w:r w:rsidRPr="00670E41">
        <w:rPr>
          <w:b/>
          <w:bCs/>
          <w:color w:val="000000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14:paraId="4D692EBE" w14:textId="77777777" w:rsidR="00670E41" w:rsidRPr="00670E41" w:rsidRDefault="00670E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2"/>
          <w:szCs w:val="22"/>
          <w:lang w:val="uk-UA"/>
        </w:rPr>
      </w:pPr>
    </w:p>
    <w:tbl>
      <w:tblPr>
        <w:tblStyle w:val="a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2142"/>
        <w:gridCol w:w="7371"/>
      </w:tblGrid>
      <w:tr w:rsidR="00F3516D" w:rsidRPr="00B53A08" w14:paraId="5FBE1DEA" w14:textId="77777777" w:rsidTr="00670E4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7645" w14:textId="77777777" w:rsidR="00F3516D" w:rsidRPr="00EC0DBE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217E" w14:textId="77777777" w:rsidR="00F3516D" w:rsidRPr="00EC0DBE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Назва предмета закупівлі згідно класифікатора, код ДК 021:2015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1587" w14:textId="77777777" w:rsidR="00F3516D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53A08">
              <w:rPr>
                <w:color w:val="000000"/>
                <w:sz w:val="22"/>
                <w:szCs w:val="22"/>
                <w:lang w:val="uk-UA"/>
              </w:rPr>
              <w:t xml:space="preserve">Послуга з сервісного технічного обслуговування автоматичного біохімічного аналізатора SAT 450 s/n  2108634 виробництва компанії «AMS» (Італія) за кодом ДК 021:2015: 50420000-5 «Послуги з ремонту і технічного обслуговування медичного та хірургічного обладнання» </w:t>
            </w:r>
          </w:p>
          <w:p w14:paraId="1CF78BE2" w14:textId="2E77EDEE" w:rsidR="00B53A08" w:rsidRPr="00B53A08" w:rsidRDefault="00B53A08" w:rsidP="00B5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53A08">
              <w:rPr>
                <w:color w:val="000000"/>
                <w:sz w:val="22"/>
                <w:szCs w:val="22"/>
                <w:lang w:val="uk-UA"/>
              </w:rPr>
              <w:t>Ідентифікатор закупівлі: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hyperlink r:id="rId6" w:history="1">
              <w:r w:rsidRPr="002A1CB4">
                <w:rPr>
                  <w:rStyle w:val="ac"/>
                  <w:sz w:val="22"/>
                  <w:szCs w:val="22"/>
                  <w:lang w:val="uk-UA"/>
                </w:rPr>
                <w:t>UA-2024-11-19-004757-a</w:t>
              </w:r>
            </w:hyperlink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F3516D" w:rsidRPr="00B53A08" w14:paraId="54ACAB80" w14:textId="77777777" w:rsidTr="00670E41">
        <w:trPr>
          <w:trHeight w:val="53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86C" w14:textId="77777777" w:rsidR="00F3516D" w:rsidRPr="00EC0DBE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759D" w14:textId="77777777" w:rsidR="00F3516D" w:rsidRPr="00EC0DBE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F296" w14:textId="0BE22D05" w:rsidR="00F3516D" w:rsidRPr="00EC0DBE" w:rsidRDefault="00ED4C78" w:rsidP="00ED4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uk-UA"/>
              </w:rPr>
            </w:pPr>
            <w:r w:rsidRPr="00ED4C78">
              <w:rPr>
                <w:color w:val="000000"/>
                <w:sz w:val="22"/>
                <w:szCs w:val="22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Pr="00ED4C7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EC0DBE" w:rsidRPr="00EC0DBE">
              <w:rPr>
                <w:color w:val="000000"/>
                <w:sz w:val="22"/>
                <w:szCs w:val="22"/>
                <w:lang w:val="uk-UA"/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1B812336" w14:textId="77777777" w:rsidR="00F3516D" w:rsidRPr="00EC0DBE" w:rsidRDefault="00EC0DBE" w:rsidP="00ED4C78">
            <w:pPr>
              <w:tabs>
                <w:tab w:val="left" w:pos="319"/>
              </w:tabs>
              <w:jc w:val="both"/>
              <w:rPr>
                <w:sz w:val="22"/>
                <w:szCs w:val="22"/>
                <w:lang w:val="uk-UA"/>
              </w:rPr>
            </w:pPr>
            <w:r w:rsidRPr="00EC0DBE">
              <w:rPr>
                <w:b/>
                <w:sz w:val="22"/>
                <w:szCs w:val="22"/>
                <w:lang w:val="uk-UA"/>
              </w:rPr>
              <w:t>Послуга з сервісного технічного обслуговування автоматичного біохімічного аналізатора SAT 450 s/n  2108634, згідно з регламентом виробника, що має містити: </w:t>
            </w:r>
          </w:p>
          <w:p w14:paraId="4430835E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Загальна діагностика на наявність помилок</w:t>
            </w:r>
          </w:p>
          <w:p w14:paraId="142C8232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Очищення голок промивної станції</w:t>
            </w:r>
          </w:p>
          <w:p w14:paraId="0A8B71DD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Очищення ємності для розчину промивання</w:t>
            </w:r>
          </w:p>
          <w:p w14:paraId="229BD985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Очищення/заміна осушувача</w:t>
            </w:r>
          </w:p>
          <w:p w14:paraId="4FF47990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Очищення гідравлічного контуру</w:t>
            </w:r>
          </w:p>
          <w:p w14:paraId="70E876A1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Перевірка тиску помп гідравлічного контуру</w:t>
            </w:r>
          </w:p>
          <w:p w14:paraId="211BFF38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Перевірка положення реакційного барабана відносно фотометра</w:t>
            </w:r>
          </w:p>
          <w:p w14:paraId="4A1ABD38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Заміна усіх трубок гідросистеми</w:t>
            </w:r>
          </w:p>
          <w:p w14:paraId="7ED9D7D2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Налаштування  фотометра, перевірка контрольної напруги</w:t>
            </w:r>
          </w:p>
          <w:p w14:paraId="06398243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 xml:space="preserve">Перевірка положення робот. руки </w:t>
            </w:r>
          </w:p>
          <w:p w14:paraId="6746F843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 xml:space="preserve">Змащення усіх направляючих робот. руки, промивної станції </w:t>
            </w:r>
          </w:p>
          <w:p w14:paraId="28AF1DD3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Перевірка зубчатих ременів на наявність пошкоджень</w:t>
            </w:r>
          </w:p>
          <w:p w14:paraId="6117E850" w14:textId="77777777" w:rsidR="00F3516D" w:rsidRPr="00EC0DBE" w:rsidRDefault="00EC0DBE" w:rsidP="00ED4C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Перевірка роботи в зібраному стані</w:t>
            </w:r>
          </w:p>
          <w:p w14:paraId="6D383BE5" w14:textId="77777777" w:rsidR="00F3516D" w:rsidRPr="00EC0DBE" w:rsidRDefault="00F3516D" w:rsidP="00ED4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72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215EC38B" w14:textId="77777777" w:rsidR="00F3516D" w:rsidRPr="00EC0DBE" w:rsidRDefault="00EC0DBE" w:rsidP="00ED4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b/>
                <w:color w:val="000000"/>
                <w:sz w:val="22"/>
                <w:szCs w:val="22"/>
                <w:lang w:val="uk-UA"/>
              </w:rPr>
              <w:t>Якісні вимоги до послуг:</w:t>
            </w:r>
          </w:p>
          <w:p w14:paraId="4B806F02" w14:textId="77777777" w:rsidR="00F3516D" w:rsidRPr="00EC0DBE" w:rsidRDefault="00EC0DBE" w:rsidP="00ED4C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rFonts w:eastAsia="Times New Roman"/>
                <w:color w:val="000000"/>
                <w:sz w:val="22"/>
                <w:szCs w:val="22"/>
                <w:lang w:val="uk-UA"/>
              </w:rPr>
              <w:t>Сервісне технічне обслуговування, згідно регламенту виробника.</w:t>
            </w:r>
          </w:p>
          <w:p w14:paraId="192F6C75" w14:textId="77777777" w:rsidR="00F3516D" w:rsidRPr="00EC0DBE" w:rsidRDefault="00EC0DBE" w:rsidP="00ED4C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Учасник повинен мати можливість надати послуги безпосередньо на місці експлуатації медичного обладнання Замовника за адресами: м. Київ, вул. Здановської Юлії, 33/43. </w:t>
            </w:r>
          </w:p>
          <w:p w14:paraId="4B6077FB" w14:textId="77777777" w:rsidR="00F3516D" w:rsidRPr="00EC0DBE" w:rsidRDefault="00EC0DBE" w:rsidP="00ED4C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Вартість послуг повинна включати вартість витратних матеріалів необхідних для проведення технічного обслуговування обладнання. </w:t>
            </w:r>
          </w:p>
          <w:p w14:paraId="4EE7A9DB" w14:textId="77777777" w:rsidR="00EC0DBE" w:rsidRPr="00EC0DBE" w:rsidRDefault="00EC0DBE" w:rsidP="00ED4C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rFonts w:eastAsia="Times New Roman"/>
                <w:color w:val="000000"/>
                <w:sz w:val="22"/>
                <w:szCs w:val="22"/>
                <w:lang w:val="uk-UA"/>
              </w:rPr>
              <w:t>Строк надання послуг</w:t>
            </w:r>
            <w:r w:rsidRPr="00EC0DBE">
              <w:rPr>
                <w:sz w:val="22"/>
                <w:szCs w:val="22"/>
              </w:rPr>
              <w:t xml:space="preserve">: </w:t>
            </w:r>
            <w:proofErr w:type="spellStart"/>
            <w:r w:rsidRPr="00EC0DBE">
              <w:rPr>
                <w:sz w:val="22"/>
                <w:szCs w:val="22"/>
              </w:rPr>
              <w:t>до</w:t>
            </w:r>
            <w:proofErr w:type="spellEnd"/>
            <w:r w:rsidRPr="00EC0DBE">
              <w:rPr>
                <w:sz w:val="22"/>
                <w:szCs w:val="22"/>
              </w:rPr>
              <w:t xml:space="preserve"> 31.12.2024.</w:t>
            </w:r>
          </w:p>
          <w:p w14:paraId="286C0FF3" w14:textId="77777777" w:rsidR="00F3516D" w:rsidRPr="00EC0DBE" w:rsidRDefault="00EC0DBE" w:rsidP="00ED4C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ind w:left="177" w:firstLine="0"/>
              <w:jc w:val="both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rFonts w:eastAsia="Times New Roman"/>
                <w:color w:val="000000"/>
                <w:sz w:val="22"/>
                <w:szCs w:val="22"/>
                <w:lang w:val="uk-UA"/>
              </w:rPr>
              <w:t>Гарантія на виконані роботи повинна складати 6 місяців.</w:t>
            </w:r>
          </w:p>
        </w:tc>
      </w:tr>
      <w:tr w:rsidR="00F3516D" w:rsidRPr="00B53A08" w14:paraId="10645066" w14:textId="77777777" w:rsidTr="00670E4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3F9D" w14:textId="77777777" w:rsidR="00F3516D" w:rsidRPr="00EC0DBE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5C60" w14:textId="77777777" w:rsidR="00F3516D" w:rsidRPr="00EC0DBE" w:rsidRDefault="00EC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09E" w14:textId="77777777" w:rsidR="00670E41" w:rsidRDefault="00EC0DBE" w:rsidP="00670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C0DBE">
              <w:rPr>
                <w:color w:val="000000"/>
                <w:sz w:val="22"/>
                <w:szCs w:val="22"/>
                <w:lang w:val="uk-UA"/>
              </w:rPr>
              <w:t>Очікувана вартість виконано відповідно до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="00670E41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32C1D510" w14:textId="2734E2C3" w:rsidR="00F3516D" w:rsidRPr="00B35130" w:rsidRDefault="00EC0DBE" w:rsidP="00670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35130">
              <w:rPr>
                <w:color w:val="000000"/>
                <w:sz w:val="22"/>
                <w:szCs w:val="22"/>
                <w:lang w:val="uk-UA"/>
              </w:rPr>
              <w:t>Розмір бюджетного призначення для предмета закупівлі не передбачається.</w:t>
            </w:r>
          </w:p>
          <w:p w14:paraId="511792B7" w14:textId="59DB3C0D" w:rsidR="00F3516D" w:rsidRPr="00670E41" w:rsidRDefault="00B35130" w:rsidP="00670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after="200"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35130">
              <w:rPr>
                <w:color w:val="000000"/>
                <w:sz w:val="22"/>
                <w:szCs w:val="22"/>
                <w:lang w:val="uk-UA"/>
              </w:rPr>
              <w:t>Очікувана вартість закупівлі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35130">
              <w:rPr>
                <w:b/>
                <w:color w:val="000000"/>
                <w:sz w:val="22"/>
                <w:szCs w:val="22"/>
                <w:lang w:val="uk-UA"/>
              </w:rPr>
              <w:t>65024.00</w:t>
            </w:r>
            <w:r w:rsidRPr="00B35130">
              <w:rPr>
                <w:color w:val="000000"/>
                <w:sz w:val="22"/>
                <w:szCs w:val="22"/>
                <w:lang w:val="uk-UA"/>
              </w:rPr>
              <w:t xml:space="preserve"> грн.</w:t>
            </w:r>
            <w:r w:rsidR="00670E4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670E41" w:rsidRPr="00670E41">
              <w:rPr>
                <w:color w:val="000000"/>
                <w:sz w:val="22"/>
                <w:szCs w:val="22"/>
                <w:lang w:val="uk-UA"/>
              </w:rPr>
              <w:t>без ПДВ.</w:t>
            </w:r>
          </w:p>
        </w:tc>
      </w:tr>
    </w:tbl>
    <w:p w14:paraId="5B28E0D0" w14:textId="77777777" w:rsidR="00F3516D" w:rsidRPr="00EC0DBE" w:rsidRDefault="00F3516D" w:rsidP="00B35130">
      <w:pPr>
        <w:pBdr>
          <w:top w:val="nil"/>
          <w:left w:val="nil"/>
          <w:bottom w:val="nil"/>
          <w:right w:val="nil"/>
          <w:between w:val="nil"/>
        </w:pBdr>
        <w:tabs>
          <w:tab w:val="left" w:pos="1970"/>
        </w:tabs>
        <w:spacing w:line="276" w:lineRule="auto"/>
        <w:jc w:val="both"/>
        <w:rPr>
          <w:lang w:val="uk-UA"/>
        </w:rPr>
      </w:pPr>
    </w:p>
    <w:sectPr w:rsidR="00F3516D" w:rsidRPr="00EC0DB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5721F"/>
    <w:multiLevelType w:val="multilevel"/>
    <w:tmpl w:val="C6740A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AB5E6D"/>
    <w:multiLevelType w:val="multilevel"/>
    <w:tmpl w:val="7A4E7D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95430383">
    <w:abstractNumId w:val="1"/>
  </w:num>
  <w:num w:numId="2" w16cid:durableId="187992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6D"/>
    <w:rsid w:val="00013AB9"/>
    <w:rsid w:val="00670E41"/>
    <w:rsid w:val="0099274B"/>
    <w:rsid w:val="00B35130"/>
    <w:rsid w:val="00B53A08"/>
    <w:rsid w:val="00EC0DBE"/>
    <w:rsid w:val="00ED4C78"/>
    <w:rsid w:val="00F3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8980"/>
  <w15:docId w15:val="{4B9FF024-A9DE-43E9-AE2D-0FE5471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F7"/>
    <w:rPr>
      <w:rFonts w:eastAsia="Arial Unicode MS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link w:val="a5"/>
    <w:unhideWhenUsed/>
    <w:rsid w:val="00A11BF7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A11BF7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A11BF7"/>
  </w:style>
  <w:style w:type="table" w:styleId="a7">
    <w:name w:val="Table Grid"/>
    <w:basedOn w:val="a1"/>
    <w:uiPriority w:val="39"/>
    <w:rsid w:val="00A11B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3D8F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Hyperlink"/>
    <w:basedOn w:val="a0"/>
    <w:uiPriority w:val="99"/>
    <w:unhideWhenUsed/>
    <w:rsid w:val="00B53A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1-19-00475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BhhuYbWGtpGZ3sDwnfvzOBa7A==">CgMxLjAyCWlkLmdqZGd4czgAciExRnJ6c0djSlRaSHlyTHFnWkNrTThMa3NYLTJVaUg0V00=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Іларіон Улич</dc:creator>
  <cp:lastModifiedBy>Едуард Оскольський</cp:lastModifiedBy>
  <cp:revision>4</cp:revision>
  <dcterms:created xsi:type="dcterms:W3CDTF">2024-09-26T09:28:00Z</dcterms:created>
  <dcterms:modified xsi:type="dcterms:W3CDTF">2024-11-20T14:20:00Z</dcterms:modified>
</cp:coreProperties>
</file>