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B34D8" w14:textId="77777777" w:rsidR="00FD4478" w:rsidRPr="00FD4478" w:rsidRDefault="00FD4478" w:rsidP="00FD4478">
            <w:pPr>
              <w:spacing w:after="0" w:line="240" w:lineRule="auto"/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 xml:space="preserve">Виконання робіт з розроблення науково-проектної документації стадії робоча документація (Р) І-а черга І,ІІ та ІV пускові комплекси будівництва по об’єкту: «Реконструкція будівель: поліклініки (літ. «А»), радіологічного корпусу (літ. «У»), лікувального корпусу клінічного профілю (клініка № 2) «літ. К», головного входу прохідної № 1 (дві споруди) літ. «Д», «Е», господарчого корпусу № 3 (спорткомплекс) літ. «Р», пральні (літ. «Ф»), господарсько-адміністративного корпусу (літ. «Л»), господарського корпусу № 2 (гараж для легкових автомобілів, гараж для вантажних автомобілів) літ. «С», «Т», хірургічного корпусу з будівлею дизельної електростанції (літ. «1А» і «1Б»), архіву </w:t>
            </w:r>
            <w:proofErr w:type="spellStart"/>
            <w:r w:rsidRPr="00FD4478">
              <w:rPr>
                <w:rFonts w:ascii="Cambria" w:hAnsi="Cambria"/>
              </w:rPr>
              <w:t>ренген</w:t>
            </w:r>
            <w:proofErr w:type="spellEnd"/>
            <w:r w:rsidRPr="00FD4478">
              <w:rPr>
                <w:rFonts w:ascii="Cambria" w:hAnsi="Cambria"/>
              </w:rPr>
              <w:t xml:space="preserve"> плівок (в літ. «П»), складу для кисню (станція лікувальних газів) (літ. «Н»), трансформаторної підстанції (літ. «О»), ЦТП (центральний тепловий пункт) (літ. «Ц»), вузла </w:t>
            </w:r>
            <w:proofErr w:type="spellStart"/>
            <w:r w:rsidRPr="00FD4478">
              <w:rPr>
                <w:rFonts w:ascii="Cambria" w:hAnsi="Cambria"/>
              </w:rPr>
              <w:t>теплообліку</w:t>
            </w:r>
            <w:proofErr w:type="spellEnd"/>
            <w:r w:rsidRPr="00FD4478">
              <w:rPr>
                <w:rFonts w:ascii="Cambria" w:hAnsi="Cambria"/>
              </w:rPr>
              <w:t xml:space="preserve"> (літ. «М»), господарчого складу (літ. «Ш»), господарчого складу (літ. «Щ»), прохідної № 2, сміттєзбірника із 2-х секцій (літ. «Ч»), реставрація з пристосуванням під сучасні потреби: громадського будинку - клінічний корпус № 1 (літ. «Г»), лабораторного корпусу із конференц залом (клінічного профілю) (літ. «Б» і «В»),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Києва»</w:t>
            </w:r>
          </w:p>
          <w:p w14:paraId="22F5BEC2" w14:textId="77777777" w:rsidR="00D60B04" w:rsidRDefault="00FD4478" w:rsidP="00FD4478">
            <w:pPr>
              <w:spacing w:after="0" w:line="240" w:lineRule="auto"/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ДК 021:2015-71320000-7 Послуги з інженерного проектування</w:t>
            </w:r>
          </w:p>
          <w:p w14:paraId="541E0466" w14:textId="77777777" w:rsidR="00FD4478" w:rsidRDefault="00FD4478" w:rsidP="00FD4478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3B5E757" w:rsidR="00FD4478" w:rsidRPr="00FD4478" w:rsidRDefault="00FD4478" w:rsidP="00FD4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D447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3F7FA"/>
              </w:rPr>
              <w:t>UA-2024-11-15-008477-a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F161A" w14:textId="77777777" w:rsidR="00FD4478" w:rsidRPr="00FD4478" w:rsidRDefault="00FD4478" w:rsidP="00FD4478">
            <w:pPr>
              <w:spacing w:after="0" w:line="240" w:lineRule="auto"/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 xml:space="preserve">Технічні та якісні характеристики предмета закупівлі визначені відповідно до Медичного завдання, Завдання на проектування, Реставраційного завдання, техніко-економічних показників І черга будівництва та проектно-кошторисної документації на будівництво за стадією проект «П» по об’єкту: 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FD4478">
              <w:rPr>
                <w:rFonts w:ascii="Cambria" w:hAnsi="Cambria"/>
              </w:rPr>
              <w:t>ренген</w:t>
            </w:r>
            <w:proofErr w:type="spellEnd"/>
            <w:r w:rsidRPr="00FD4478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FD4478">
              <w:rPr>
                <w:rFonts w:ascii="Cambria" w:hAnsi="Cambria"/>
              </w:rPr>
              <w:t>теплообліку</w:t>
            </w:r>
            <w:proofErr w:type="spellEnd"/>
            <w:r w:rsidRPr="00FD4478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</w:t>
            </w:r>
            <w:r w:rsidRPr="00FD4478">
              <w:rPr>
                <w:rFonts w:ascii="Cambria" w:hAnsi="Cambria"/>
                <w:b/>
                <w:bCs/>
              </w:rPr>
              <w:t>реставрація з пристосуванням під сучасні потреби: громадського будинку - клінічний корпус №1 (літ. Г)</w:t>
            </w:r>
            <w:r w:rsidRPr="00FD4478">
              <w:rPr>
                <w:rFonts w:ascii="Cambria" w:hAnsi="Cambria"/>
              </w:rPr>
              <w:t xml:space="preserve">, лабораторного корпусу із конференц залом (клінічного профілю) (літ. “Б” і “В”), нове будівництво радіологічного </w:t>
            </w:r>
            <w:r w:rsidRPr="00FD4478">
              <w:rPr>
                <w:rFonts w:ascii="Cambria" w:hAnsi="Cambria"/>
              </w:rPr>
              <w:lastRenderedPageBreak/>
              <w:t>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І черга будівництва.</w:t>
            </w:r>
          </w:p>
          <w:p w14:paraId="2E3FB0D9" w14:textId="77777777" w:rsidR="00FD4478" w:rsidRPr="00FD4478" w:rsidRDefault="00FD4478" w:rsidP="00FD4478">
            <w:pPr>
              <w:spacing w:after="0" w:line="240" w:lineRule="auto"/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Експертний звіт (позитивний) №01-0</w:t>
            </w:r>
            <w:r w:rsidRPr="00FD4478">
              <w:rPr>
                <w:rFonts w:ascii="Cambria" w:hAnsi="Cambria"/>
                <w:lang w:val="ru-RU"/>
              </w:rPr>
              <w:t>270</w:t>
            </w:r>
            <w:r w:rsidRPr="00FD4478">
              <w:rPr>
                <w:rFonts w:ascii="Cambria" w:hAnsi="Cambria"/>
              </w:rPr>
              <w:t xml:space="preserve">-24/ЦБ від </w:t>
            </w:r>
            <w:r w:rsidRPr="00FD4478">
              <w:rPr>
                <w:rFonts w:ascii="Cambria" w:hAnsi="Cambria"/>
                <w:lang w:val="ru-RU"/>
              </w:rPr>
              <w:t xml:space="preserve">31 </w:t>
            </w:r>
            <w:r w:rsidRPr="00FD4478">
              <w:rPr>
                <w:rFonts w:ascii="Cambria" w:hAnsi="Cambria"/>
              </w:rPr>
              <w:t>жовтня 2024 року</w:t>
            </w:r>
          </w:p>
          <w:p w14:paraId="607CF8C0" w14:textId="5C7040A8" w:rsidR="00D60B04" w:rsidRPr="00D60B04" w:rsidRDefault="00FD4478" w:rsidP="00FD4478">
            <w:pPr>
              <w:spacing w:after="0" w:line="240" w:lineRule="auto"/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 xml:space="preserve">Реєстраційний номер в ЄДЕССБ </w:t>
            </w:r>
            <w:r w:rsidRPr="00FD4478">
              <w:rPr>
                <w:rFonts w:ascii="Cambria" w:hAnsi="Cambria"/>
                <w:lang w:val="en-US"/>
              </w:rPr>
              <w:t>EX</w:t>
            </w:r>
            <w:r w:rsidRPr="00FD4478">
              <w:rPr>
                <w:rFonts w:ascii="Cambria" w:hAnsi="Cambria"/>
                <w:lang w:val="ru-RU"/>
              </w:rPr>
              <w:t>01:0159-9420-1328-9522 (</w:t>
            </w:r>
            <w:proofErr w:type="spellStart"/>
            <w:r w:rsidRPr="00FD4478">
              <w:rPr>
                <w:rFonts w:ascii="Cambria" w:hAnsi="Cambria"/>
                <w:lang w:val="ru-RU"/>
              </w:rPr>
              <w:t>редакція</w:t>
            </w:r>
            <w:proofErr w:type="spellEnd"/>
            <w:r w:rsidRPr="00FD4478">
              <w:rPr>
                <w:rFonts w:ascii="Cambria" w:hAnsi="Cambria"/>
                <w:lang w:val="ru-RU"/>
              </w:rPr>
              <w:t xml:space="preserve"> №2), виданого </w:t>
            </w:r>
            <w:proofErr w:type="spellStart"/>
            <w:r w:rsidRPr="00FD4478">
              <w:rPr>
                <w:rFonts w:ascii="Cambria" w:hAnsi="Cambria"/>
                <w:lang w:val="ru-RU"/>
              </w:rPr>
              <w:t>Філією</w:t>
            </w:r>
            <w:proofErr w:type="spellEnd"/>
            <w:r w:rsidRPr="00FD4478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FD4478">
              <w:rPr>
                <w:rFonts w:ascii="Cambria" w:hAnsi="Cambria"/>
                <w:lang w:val="ru-RU"/>
              </w:rPr>
              <w:t>Київоблбудекспертиза</w:t>
            </w:r>
            <w:proofErr w:type="spellEnd"/>
            <w:r w:rsidRPr="00FD4478">
              <w:rPr>
                <w:rFonts w:ascii="Cambria" w:hAnsi="Cambria"/>
                <w:lang w:val="ru-RU"/>
              </w:rPr>
              <w:t xml:space="preserve">» державного </w:t>
            </w:r>
            <w:proofErr w:type="spellStart"/>
            <w:r w:rsidRPr="00FD4478">
              <w:rPr>
                <w:rFonts w:ascii="Cambria" w:hAnsi="Cambria"/>
                <w:lang w:val="ru-RU"/>
              </w:rPr>
              <w:t>підприємства</w:t>
            </w:r>
            <w:proofErr w:type="spellEnd"/>
            <w:r w:rsidRPr="00FD4478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FD4478">
              <w:rPr>
                <w:rFonts w:ascii="Cambria" w:hAnsi="Cambria"/>
                <w:lang w:val="ru-RU"/>
              </w:rPr>
              <w:t>Київоблбудінвест</w:t>
            </w:r>
            <w:proofErr w:type="spellEnd"/>
            <w:r w:rsidRPr="00FD4478">
              <w:rPr>
                <w:rFonts w:ascii="Cambria" w:hAnsi="Cambria"/>
                <w:lang w:val="ru-RU"/>
              </w:rPr>
              <w:t>».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6F096" w14:textId="77777777" w:rsidR="00FD4478" w:rsidRPr="00FD4478" w:rsidRDefault="00FD4478" w:rsidP="00FD4478">
            <w:pPr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Обґрунтування очікуваної вартості предмета закупівлі, розміру бюджетного призначення</w:t>
            </w:r>
            <w:r w:rsidRPr="00FD4478">
              <w:rPr>
                <w:rFonts w:ascii="Cambria" w:hAnsi="Cambria"/>
              </w:rPr>
              <w:tab/>
              <w:t xml:space="preserve">Очікувана вартість визначена проектно-кошторисною документацією за стадією проектування стадія проект «П»   по об’єкту: 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FD4478">
              <w:rPr>
                <w:rFonts w:ascii="Cambria" w:hAnsi="Cambria"/>
              </w:rPr>
              <w:t>ренген</w:t>
            </w:r>
            <w:proofErr w:type="spellEnd"/>
            <w:r w:rsidRPr="00FD4478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FD4478">
              <w:rPr>
                <w:rFonts w:ascii="Cambria" w:hAnsi="Cambria"/>
              </w:rPr>
              <w:t>теплообліку</w:t>
            </w:r>
            <w:proofErr w:type="spellEnd"/>
            <w:r w:rsidRPr="00FD4478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І черга будівництва</w:t>
            </w:r>
          </w:p>
          <w:p w14:paraId="6F2860BD" w14:textId="77777777" w:rsidR="00FD4478" w:rsidRPr="00FD4478" w:rsidRDefault="00FD4478" w:rsidP="00FD4478">
            <w:pPr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Експертний звіт (позитивний) №01-0270-24/ЦБ від 31 жовтня 2024 року</w:t>
            </w:r>
          </w:p>
          <w:p w14:paraId="7B141FFA" w14:textId="77777777" w:rsidR="00FD4478" w:rsidRPr="00FD4478" w:rsidRDefault="00FD4478" w:rsidP="00FD4478">
            <w:pPr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Реєстраційний номер в ЄДЕССБ EX01:0159-9420-1328-9522 (редакція №2), виданого Філією «</w:t>
            </w:r>
            <w:proofErr w:type="spellStart"/>
            <w:r w:rsidRPr="00FD4478">
              <w:rPr>
                <w:rFonts w:ascii="Cambria" w:hAnsi="Cambria"/>
              </w:rPr>
              <w:t>Київоблбудекспертиза</w:t>
            </w:r>
            <w:proofErr w:type="spellEnd"/>
            <w:r w:rsidRPr="00FD4478">
              <w:rPr>
                <w:rFonts w:ascii="Cambria" w:hAnsi="Cambria"/>
              </w:rPr>
              <w:t>» державного підприємства «</w:t>
            </w:r>
            <w:proofErr w:type="spellStart"/>
            <w:r w:rsidRPr="00FD4478">
              <w:rPr>
                <w:rFonts w:ascii="Cambria" w:hAnsi="Cambria"/>
              </w:rPr>
              <w:t>Київоблбудінвест</w:t>
            </w:r>
            <w:proofErr w:type="spellEnd"/>
            <w:r w:rsidRPr="00FD4478">
              <w:rPr>
                <w:rFonts w:ascii="Cambria" w:hAnsi="Cambria"/>
              </w:rPr>
              <w:t>».</w:t>
            </w:r>
          </w:p>
          <w:p w14:paraId="4E1BBA9F" w14:textId="77777777" w:rsidR="00FD4478" w:rsidRPr="00FD4478" w:rsidRDefault="00FD4478" w:rsidP="00FD4478">
            <w:pPr>
              <w:rPr>
                <w:rFonts w:ascii="Cambria" w:hAnsi="Cambria"/>
              </w:rPr>
            </w:pPr>
          </w:p>
          <w:p w14:paraId="7CA03894" w14:textId="18E2A2D4" w:rsidR="00FD4478" w:rsidRPr="00FD4478" w:rsidRDefault="00FD4478" w:rsidP="00FD4478">
            <w:pPr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Очікувана загальна вартість закупівлі:  1 634 495,00 гривен (Державні кошти).</w:t>
            </w:r>
          </w:p>
          <w:p w14:paraId="1EFD26E1" w14:textId="29A7793B" w:rsidR="00D60B04" w:rsidRPr="00D60B04" w:rsidRDefault="00FD4478" w:rsidP="00FD4478">
            <w:pPr>
              <w:rPr>
                <w:rFonts w:ascii="Cambria" w:hAnsi="Cambria"/>
              </w:rPr>
            </w:pPr>
            <w:r w:rsidRPr="00FD4478">
              <w:rPr>
                <w:rFonts w:ascii="Cambria" w:hAnsi="Cambria"/>
              </w:rPr>
              <w:t>Розмір бюджетного призначення для предмета закупівлі відповідає розрахунку видатків до кошторису на 2024 рік ДНП «Національний інститут раку» (КЕКВ 3210) – 42 287 500 ,00 грн.  (Державні кошти)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B07B3"/>
    <w:rsid w:val="004C6126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3535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2024-11-15T11:24:00Z</dcterms:modified>
</cp:coreProperties>
</file>