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9E65" w14:textId="77777777" w:rsidR="00192E79" w:rsidRPr="00A53912" w:rsidRDefault="00192E79" w:rsidP="00192E79">
      <w:pPr>
        <w:pStyle w:val="a3"/>
        <w:tabs>
          <w:tab w:val="left" w:pos="2000"/>
        </w:tabs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</w:rPr>
      </w:pPr>
    </w:p>
    <w:p w14:paraId="70195770" w14:textId="77777777" w:rsidR="00192E79" w:rsidRPr="00A53912" w:rsidRDefault="00192E79" w:rsidP="00192E79">
      <w:pPr>
        <w:pStyle w:val="a3"/>
        <w:spacing w:after="0"/>
        <w:jc w:val="center"/>
        <w:rPr>
          <w:rStyle w:val="a7"/>
          <w:rFonts w:ascii="Times New Roman" w:hAnsi="Times New Roman" w:cs="Times New Roman"/>
        </w:rPr>
      </w:pPr>
      <w:r w:rsidRPr="00A53912">
        <w:rPr>
          <w:rStyle w:val="a7"/>
          <w:rFonts w:ascii="Times New Roman" w:hAnsi="Times New Roman" w:cs="Times New Roman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A53912">
        <w:rPr>
          <w:rStyle w:val="a7"/>
          <w:rFonts w:ascii="Times New Roman" w:hAnsi="Times New Roman" w:cs="Times New Roman"/>
        </w:rPr>
        <w:tab/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5"/>
        <w:gridCol w:w="2989"/>
        <w:gridCol w:w="6235"/>
      </w:tblGrid>
      <w:tr w:rsidR="00192E79" w:rsidRPr="0005343E" w14:paraId="75221627" w14:textId="77777777" w:rsidTr="00CD769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6039" w14:textId="77777777" w:rsidR="00192E79" w:rsidRPr="00A53912" w:rsidRDefault="00192E79" w:rsidP="00CD7695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A53912">
              <w:rPr>
                <w:rStyle w:val="a7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19FE" w14:textId="77777777" w:rsidR="00192E79" w:rsidRPr="00A53912" w:rsidRDefault="00192E79" w:rsidP="00CD7695">
            <w:pPr>
              <w:pStyle w:val="a3"/>
              <w:spacing w:after="0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A53912">
              <w:rPr>
                <w:rStyle w:val="a7"/>
                <w:rFonts w:ascii="Times New Roman" w:hAnsi="Times New Roman" w:cs="Times New Roman"/>
                <w:lang w:eastAsia="en-US"/>
              </w:rPr>
              <w:t>Назва предмета закупівлі згідно класифікатора, код ДК 021:2015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C9FE" w14:textId="7C069AC1" w:rsidR="00192E79" w:rsidRDefault="00D84A46" w:rsidP="00CD7695">
            <w:pPr>
              <w:pStyle w:val="a3"/>
              <w:jc w:val="both"/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</w:pPr>
            <w:r w:rsidRPr="00A53912">
              <w:rPr>
                <w:rFonts w:ascii="Times New Roman" w:hAnsi="Times New Roman"/>
                <w:bCs/>
              </w:rPr>
              <w:t xml:space="preserve">Послуга з діагностики несправності </w:t>
            </w:r>
            <w:r w:rsidR="00192E79" w:rsidRPr="00A53912">
              <w:rPr>
                <w:rFonts w:ascii="Times New Roman" w:hAnsi="Times New Roman"/>
                <w:bCs/>
                <w:sz w:val="24"/>
                <w:szCs w:val="24"/>
              </w:rPr>
              <w:t xml:space="preserve">комп’ютерного томографу типу  </w:t>
            </w:r>
            <w:proofErr w:type="spellStart"/>
            <w:r w:rsidR="00192E79" w:rsidRPr="00A53912">
              <w:rPr>
                <w:rFonts w:ascii="Times New Roman" w:hAnsi="Times New Roman"/>
                <w:bCs/>
                <w:sz w:val="24"/>
                <w:szCs w:val="24"/>
              </w:rPr>
              <w:t>Aquilion</w:t>
            </w:r>
            <w:proofErr w:type="spellEnd"/>
            <w:r w:rsidR="00192E79" w:rsidRPr="00A539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92E79" w:rsidRPr="00A53912">
              <w:rPr>
                <w:rFonts w:ascii="Times New Roman" w:hAnsi="Times New Roman"/>
                <w:bCs/>
                <w:sz w:val="24"/>
                <w:szCs w:val="24"/>
              </w:rPr>
              <w:t>Lightning</w:t>
            </w:r>
            <w:proofErr w:type="spellEnd"/>
            <w:r w:rsidR="00192E79" w:rsidRPr="00A53912">
              <w:rPr>
                <w:rFonts w:ascii="Times New Roman" w:hAnsi="Times New Roman"/>
                <w:bCs/>
                <w:sz w:val="24"/>
                <w:szCs w:val="24"/>
              </w:rPr>
              <w:t xml:space="preserve"> 32-зрізовий</w:t>
            </w:r>
            <w:r w:rsidR="003365A0" w:rsidRPr="00A539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365A0" w:rsidRPr="00A53912">
              <w:rPr>
                <w:rFonts w:ascii="Times New Roman" w:hAnsi="Times New Roman" w:cs="Times New Roman"/>
              </w:rPr>
              <w:t>(s/n 7CD2263417)</w:t>
            </w:r>
            <w:r w:rsidR="00192E79" w:rsidRPr="00A53912">
              <w:rPr>
                <w:rFonts w:ascii="Times New Roman" w:hAnsi="Times New Roman"/>
                <w:bCs/>
                <w:sz w:val="24"/>
                <w:szCs w:val="24"/>
              </w:rPr>
              <w:t xml:space="preserve"> виробник «</w:t>
            </w:r>
            <w:proofErr w:type="spellStart"/>
            <w:r w:rsidR="00192E79" w:rsidRPr="00A53912">
              <w:rPr>
                <w:rFonts w:ascii="Times New Roman" w:hAnsi="Times New Roman"/>
                <w:b/>
                <w:bCs/>
                <w:sz w:val="24"/>
                <w:szCs w:val="24"/>
              </w:rPr>
              <w:t>Canon</w:t>
            </w:r>
            <w:proofErr w:type="spellEnd"/>
            <w:r w:rsidR="00192E79" w:rsidRPr="00A539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92E79" w:rsidRPr="00A53912">
              <w:rPr>
                <w:rFonts w:ascii="Times New Roman" w:hAnsi="Times New Roman"/>
                <w:b/>
                <w:bCs/>
                <w:sz w:val="24"/>
                <w:szCs w:val="24"/>
              </w:rPr>
              <w:t>Medical</w:t>
            </w:r>
            <w:proofErr w:type="spellEnd"/>
            <w:r w:rsidR="00192E79" w:rsidRPr="00A539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92E79" w:rsidRPr="00A53912">
              <w:rPr>
                <w:rFonts w:ascii="Times New Roman" w:hAnsi="Times New Roman"/>
                <w:b/>
                <w:bCs/>
                <w:sz w:val="24"/>
                <w:szCs w:val="24"/>
              </w:rPr>
              <w:t>Systems</w:t>
            </w:r>
            <w:proofErr w:type="spellEnd"/>
            <w:r w:rsidR="00192E79" w:rsidRPr="00A539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(Японія)</w:t>
            </w:r>
            <w:r w:rsidR="00192E79" w:rsidRPr="00A539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92E79" w:rsidRPr="00A53912">
              <w:rPr>
                <w:rStyle w:val="a7"/>
                <w:rFonts w:ascii="Times New Roman" w:hAnsi="Times New Roman" w:cs="Times New Roman"/>
                <w:lang w:eastAsia="en-US"/>
              </w:rPr>
              <w:t xml:space="preserve">за кодом ДК 021:2015: 50420000-5 «Послуги з ремонту і технічного обслуговування медичного та хірургічного обладнання» </w:t>
            </w:r>
          </w:p>
          <w:p w14:paraId="3842C8E7" w14:textId="364F12BC" w:rsidR="00192E79" w:rsidRPr="00A53912" w:rsidRDefault="0005343E" w:rsidP="0005343E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  <w:hyperlink r:id="rId5" w:tgtFrame="_blank" w:history="1">
              <w:r w:rsidRPr="0005343E">
                <w:rPr>
                  <w:rStyle w:val="ab"/>
                  <w:rFonts w:ascii="Times New Roman" w:hAnsi="Times New Roman"/>
                  <w:b/>
                  <w:bCs/>
                  <w:sz w:val="24"/>
                  <w:szCs w:val="24"/>
                  <w:lang w:val="en-US"/>
                </w:rPr>
                <w:t>UA-2025-05-22-004739-a</w:t>
              </w:r>
            </w:hyperlink>
          </w:p>
        </w:tc>
      </w:tr>
      <w:tr w:rsidR="00192E79" w:rsidRPr="0005343E" w14:paraId="513EA60A" w14:textId="77777777" w:rsidTr="00CD7695">
        <w:trPr>
          <w:trHeight w:val="5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DBB1" w14:textId="77777777" w:rsidR="00192E79" w:rsidRPr="00A53912" w:rsidRDefault="00192E79" w:rsidP="00CD7695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A53912">
              <w:rPr>
                <w:rStyle w:val="a7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E327" w14:textId="77777777" w:rsidR="00192E79" w:rsidRPr="00A53912" w:rsidRDefault="00192E79" w:rsidP="00CD7695">
            <w:pPr>
              <w:pStyle w:val="a3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A53912">
              <w:rPr>
                <w:rStyle w:val="a7"/>
                <w:rFonts w:ascii="Times New Roman" w:hAnsi="Times New Roman" w:cs="Times New Roman"/>
                <w:lang w:eastAsia="en-US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E71" w14:textId="77777777" w:rsidR="00192E79" w:rsidRPr="00A53912" w:rsidRDefault="00192E79" w:rsidP="00CD7695">
            <w:pPr>
              <w:pStyle w:val="a3"/>
              <w:spacing w:after="0"/>
              <w:jc w:val="both"/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Технічні та якісні характеристики предмета закупівлі визначенні відповідно Технічного завдання та Технічної специфікації.</w:t>
            </w:r>
          </w:p>
          <w:p w14:paraId="3D0FE6F0" w14:textId="5A4ABF14" w:rsidR="00192E79" w:rsidRPr="00A53912" w:rsidRDefault="00D84A46" w:rsidP="00CD7695">
            <w:pPr>
              <w:suppressAutoHyphens/>
              <w:rPr>
                <w:rFonts w:eastAsia="Calibri"/>
                <w:b/>
                <w:lang w:val="uk-UA" w:eastAsia="ar-SA"/>
              </w:rPr>
            </w:pPr>
            <w:r w:rsidRPr="00A53912">
              <w:rPr>
                <w:b/>
                <w:lang w:val="uk-UA"/>
              </w:rPr>
              <w:t xml:space="preserve">Послуга з діагностики несправності </w:t>
            </w:r>
            <w:r w:rsidR="00192E79" w:rsidRPr="00A53912">
              <w:rPr>
                <w:b/>
                <w:lang w:val="uk-UA"/>
              </w:rPr>
              <w:t xml:space="preserve"> комп’ютерного томографу типу  </w:t>
            </w:r>
            <w:proofErr w:type="spellStart"/>
            <w:r w:rsidR="00192E79" w:rsidRPr="00A53912">
              <w:rPr>
                <w:b/>
                <w:lang w:val="uk-UA"/>
              </w:rPr>
              <w:t>Aquilion</w:t>
            </w:r>
            <w:proofErr w:type="spellEnd"/>
            <w:r w:rsidR="00192E79" w:rsidRPr="00A53912">
              <w:rPr>
                <w:b/>
                <w:lang w:val="uk-UA"/>
              </w:rPr>
              <w:t xml:space="preserve"> </w:t>
            </w:r>
            <w:proofErr w:type="spellStart"/>
            <w:r w:rsidR="00192E79" w:rsidRPr="00A53912">
              <w:rPr>
                <w:b/>
                <w:lang w:val="uk-UA"/>
              </w:rPr>
              <w:t>Lightning</w:t>
            </w:r>
            <w:proofErr w:type="spellEnd"/>
            <w:r w:rsidR="00192E79" w:rsidRPr="00A53912">
              <w:rPr>
                <w:b/>
                <w:lang w:val="uk-UA"/>
              </w:rPr>
              <w:t xml:space="preserve"> 32-зрізовий</w:t>
            </w:r>
            <w:r w:rsidR="003365A0" w:rsidRPr="00A53912">
              <w:rPr>
                <w:b/>
                <w:lang w:val="uk-UA"/>
              </w:rPr>
              <w:t xml:space="preserve"> (s/n 7CD2263417)</w:t>
            </w:r>
            <w:r w:rsidR="00192E79" w:rsidRPr="00A53912">
              <w:rPr>
                <w:b/>
                <w:lang w:val="uk-UA"/>
              </w:rPr>
              <w:t>, згідно регламенту виробника, що включають в</w:t>
            </w:r>
            <w:r w:rsidR="00192E79" w:rsidRPr="00A53912">
              <w:rPr>
                <w:b/>
                <w:lang w:val="uk-UA" w:eastAsia="ar-SA"/>
              </w:rPr>
              <w:t xml:space="preserve"> себе:</w:t>
            </w:r>
          </w:p>
          <w:p w14:paraId="003C6232" w14:textId="77777777" w:rsidR="00192E79" w:rsidRPr="00A53912" w:rsidRDefault="00192E79" w:rsidP="00CD7695">
            <w:pPr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 w:rsidRPr="00A53912">
              <w:rPr>
                <w:sz w:val="22"/>
                <w:szCs w:val="22"/>
                <w:lang w:val="uk-UA"/>
              </w:rPr>
              <w:t>Проведення діагностичних процедур для виявлення відхилень в працездатності систем, перевірка даних автоматичної системи фіксації подій та функціювання основних модулів.</w:t>
            </w:r>
          </w:p>
          <w:p w14:paraId="278FDA41" w14:textId="77777777" w:rsidR="00192E79" w:rsidRPr="00A53912" w:rsidRDefault="00192E79" w:rsidP="00CD7695">
            <w:pPr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 w:rsidRPr="00A53912">
              <w:rPr>
                <w:sz w:val="22"/>
                <w:szCs w:val="22"/>
                <w:lang w:val="uk-UA"/>
              </w:rPr>
              <w:t>Тестування працездатності мережевих систем обробки зображення та виконання експорту діагностичних даних.</w:t>
            </w:r>
          </w:p>
          <w:p w14:paraId="54B4AB08" w14:textId="77777777" w:rsidR="00192E79" w:rsidRPr="00A53912" w:rsidRDefault="00192E79" w:rsidP="00CD7695">
            <w:pPr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 w:rsidRPr="00A53912">
              <w:rPr>
                <w:sz w:val="22"/>
                <w:szCs w:val="22"/>
                <w:lang w:val="uk-UA"/>
              </w:rPr>
              <w:t>Збір та аналіз даних з системи автоматичної діагностики функціонування обладнання.</w:t>
            </w:r>
          </w:p>
          <w:p w14:paraId="32123BB5" w14:textId="77777777" w:rsidR="00192E79" w:rsidRPr="00A53912" w:rsidRDefault="00192E79" w:rsidP="00CD7695">
            <w:pPr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 w:rsidRPr="00A53912">
              <w:rPr>
                <w:sz w:val="22"/>
                <w:szCs w:val="22"/>
                <w:lang w:val="uk-UA"/>
              </w:rPr>
              <w:t>Інспекція стану, перевірка цілісності компонентів та їх діагностика.</w:t>
            </w:r>
          </w:p>
          <w:p w14:paraId="2F7C038D" w14:textId="77777777" w:rsidR="00192E79" w:rsidRPr="00A53912" w:rsidRDefault="00192E79" w:rsidP="00CD7695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contextualSpacing/>
              <w:rPr>
                <w:rFonts w:eastAsia="Calibri"/>
                <w:lang w:val="uk-UA" w:eastAsia="ar-SA"/>
              </w:rPr>
            </w:pPr>
            <w:r w:rsidRPr="00A53912">
              <w:rPr>
                <w:lang w:val="uk-UA" w:eastAsia="ar-SA"/>
              </w:rPr>
              <w:t xml:space="preserve">Контроль і чищення органів керування </w:t>
            </w:r>
            <w:proofErr w:type="spellStart"/>
            <w:r w:rsidRPr="00A53912">
              <w:rPr>
                <w:lang w:val="uk-UA" w:eastAsia="ar-SA"/>
              </w:rPr>
              <w:t>гентрі</w:t>
            </w:r>
            <w:proofErr w:type="spellEnd"/>
            <w:r w:rsidRPr="00A53912">
              <w:rPr>
                <w:lang w:val="uk-UA" w:eastAsia="ar-SA"/>
              </w:rPr>
              <w:t>, системи аварійних датчиків, системи зв'язку з пацієнтом.</w:t>
            </w:r>
          </w:p>
          <w:p w14:paraId="43A10985" w14:textId="77777777" w:rsidR="00192E79" w:rsidRPr="00A53912" w:rsidRDefault="00192E79" w:rsidP="00CD7695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contextualSpacing/>
              <w:rPr>
                <w:lang w:val="uk-UA" w:eastAsia="ar-SA"/>
              </w:rPr>
            </w:pPr>
            <w:r w:rsidRPr="00A53912">
              <w:rPr>
                <w:lang w:val="uk-UA" w:eastAsia="ar-SA"/>
              </w:rPr>
              <w:t xml:space="preserve">Контроль </w:t>
            </w:r>
            <w:proofErr w:type="spellStart"/>
            <w:r w:rsidRPr="00A53912">
              <w:rPr>
                <w:lang w:val="uk-UA" w:eastAsia="ar-SA"/>
              </w:rPr>
              <w:t>напруг</w:t>
            </w:r>
            <w:proofErr w:type="spellEnd"/>
            <w:r w:rsidRPr="00A53912">
              <w:rPr>
                <w:lang w:val="uk-UA" w:eastAsia="ar-SA"/>
              </w:rPr>
              <w:t xml:space="preserve"> на блоках управління стола пацієнта.</w:t>
            </w:r>
          </w:p>
          <w:p w14:paraId="09EFA004" w14:textId="1C0AB7AF" w:rsidR="00192E79" w:rsidRPr="00585267" w:rsidRDefault="00192E79" w:rsidP="00585267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contextualSpacing/>
              <w:rPr>
                <w:lang w:val="uk-UA" w:eastAsia="ar-SA"/>
              </w:rPr>
            </w:pPr>
            <w:r w:rsidRPr="00A53912">
              <w:rPr>
                <w:lang w:val="uk-UA" w:eastAsia="ar-SA"/>
              </w:rPr>
              <w:t>Контроль працездатності вентиляторів.</w:t>
            </w:r>
          </w:p>
          <w:p w14:paraId="48DA6D14" w14:textId="77777777" w:rsidR="00192E79" w:rsidRPr="00A53912" w:rsidRDefault="00192E79" w:rsidP="00CD7695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contextualSpacing/>
              <w:rPr>
                <w:lang w:val="uk-UA" w:eastAsia="ar-SA"/>
              </w:rPr>
            </w:pPr>
            <w:r w:rsidRPr="00A53912">
              <w:rPr>
                <w:lang w:val="uk-UA" w:eastAsia="ar-SA"/>
              </w:rPr>
              <w:t>Зчитування файлу помилок з високовольтного генератора, блоку обробки. Аналіз файлів помилок.</w:t>
            </w:r>
          </w:p>
          <w:p w14:paraId="7E9777DF" w14:textId="62357935" w:rsidR="00192E79" w:rsidRPr="00A53912" w:rsidRDefault="00192E79" w:rsidP="00CD7695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contextualSpacing/>
              <w:rPr>
                <w:lang w:val="uk-UA" w:eastAsia="ar-SA"/>
              </w:rPr>
            </w:pPr>
            <w:r w:rsidRPr="00A53912">
              <w:rPr>
                <w:lang w:val="uk-UA" w:eastAsia="ar-SA"/>
              </w:rPr>
              <w:t>Контроль напруги на випромінювачі. Профілактика високовольтного кабелю.</w:t>
            </w:r>
          </w:p>
          <w:p w14:paraId="5E4DECBA" w14:textId="77777777" w:rsidR="00192E79" w:rsidRPr="00A53912" w:rsidRDefault="00192E79" w:rsidP="00CD7695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contextualSpacing/>
              <w:rPr>
                <w:lang w:val="uk-UA" w:eastAsia="ar-SA"/>
              </w:rPr>
            </w:pPr>
            <w:r w:rsidRPr="00A53912">
              <w:rPr>
                <w:lang w:val="uk-UA" w:eastAsia="ar-SA"/>
              </w:rPr>
              <w:t>Перевірка працездатності системи, якості зображення.</w:t>
            </w:r>
          </w:p>
          <w:p w14:paraId="2E68850C" w14:textId="77777777" w:rsidR="00192E79" w:rsidRPr="00A53912" w:rsidRDefault="00192E79" w:rsidP="00CD7695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contextualSpacing/>
              <w:rPr>
                <w:lang w:val="uk-UA" w:eastAsia="ar-SA"/>
              </w:rPr>
            </w:pPr>
            <w:r w:rsidRPr="00A53912">
              <w:rPr>
                <w:lang w:val="uk-UA" w:eastAsia="ar-SA"/>
              </w:rPr>
              <w:t xml:space="preserve">Контроль і регулювання </w:t>
            </w:r>
            <w:proofErr w:type="spellStart"/>
            <w:r w:rsidRPr="00A53912">
              <w:rPr>
                <w:lang w:val="uk-UA" w:eastAsia="ar-SA"/>
              </w:rPr>
              <w:t>напруг</w:t>
            </w:r>
            <w:proofErr w:type="spellEnd"/>
            <w:r w:rsidRPr="00A53912">
              <w:rPr>
                <w:lang w:val="uk-UA" w:eastAsia="ar-SA"/>
              </w:rPr>
              <w:t xml:space="preserve"> живлень </w:t>
            </w:r>
            <w:proofErr w:type="spellStart"/>
            <w:r w:rsidRPr="00A53912">
              <w:rPr>
                <w:lang w:val="uk-UA" w:eastAsia="ar-SA"/>
              </w:rPr>
              <w:t>гентрі</w:t>
            </w:r>
            <w:proofErr w:type="spellEnd"/>
            <w:r w:rsidRPr="00A53912">
              <w:rPr>
                <w:lang w:val="uk-UA" w:eastAsia="ar-SA"/>
              </w:rPr>
              <w:t xml:space="preserve"> (вхідна напруга в систему, напругу на генераторі, детекторі, блоці передачі даних, системах контролю)</w:t>
            </w:r>
          </w:p>
          <w:p w14:paraId="7AC4DC12" w14:textId="77777777" w:rsidR="00192E79" w:rsidRPr="00A53912" w:rsidRDefault="00192E79" w:rsidP="00CD7695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contextualSpacing/>
              <w:rPr>
                <w:lang w:val="uk-UA" w:eastAsia="ar-SA"/>
              </w:rPr>
            </w:pPr>
            <w:r w:rsidRPr="00A53912">
              <w:rPr>
                <w:lang w:val="uk-UA" w:eastAsia="ar-SA"/>
              </w:rPr>
              <w:t xml:space="preserve">Чищення системи контактної передачі напруги на </w:t>
            </w:r>
            <w:proofErr w:type="spellStart"/>
            <w:r w:rsidRPr="00A53912">
              <w:rPr>
                <w:lang w:val="uk-UA" w:eastAsia="ar-SA"/>
              </w:rPr>
              <w:t>гентрі</w:t>
            </w:r>
            <w:proofErr w:type="spellEnd"/>
            <w:r w:rsidRPr="00A53912">
              <w:rPr>
                <w:lang w:val="uk-UA" w:eastAsia="ar-SA"/>
              </w:rPr>
              <w:t>, діагностика щіток.</w:t>
            </w:r>
          </w:p>
          <w:p w14:paraId="6D3BA003" w14:textId="77777777" w:rsidR="00192E79" w:rsidRPr="00A53912" w:rsidRDefault="00192E79" w:rsidP="00CD7695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contextualSpacing/>
              <w:rPr>
                <w:lang w:val="uk-UA" w:eastAsia="ar-SA"/>
              </w:rPr>
            </w:pPr>
            <w:r w:rsidRPr="00A53912">
              <w:rPr>
                <w:lang w:val="uk-UA" w:eastAsia="ar-SA"/>
              </w:rPr>
              <w:t xml:space="preserve">Контроль і регулювання </w:t>
            </w:r>
            <w:proofErr w:type="spellStart"/>
            <w:r w:rsidRPr="00A53912">
              <w:rPr>
                <w:lang w:val="uk-UA" w:eastAsia="ar-SA"/>
              </w:rPr>
              <w:t>напруг</w:t>
            </w:r>
            <w:proofErr w:type="spellEnd"/>
            <w:r w:rsidRPr="00A53912">
              <w:rPr>
                <w:lang w:val="uk-UA" w:eastAsia="ar-SA"/>
              </w:rPr>
              <w:t xml:space="preserve"> у блоці обробки й реконструкції.</w:t>
            </w:r>
          </w:p>
          <w:p w14:paraId="16457E46" w14:textId="77777777" w:rsidR="00192E79" w:rsidRPr="00585267" w:rsidRDefault="00192E79" w:rsidP="00CD7695">
            <w:pPr>
              <w:numPr>
                <w:ilvl w:val="0"/>
                <w:numId w:val="1"/>
              </w:numPr>
              <w:rPr>
                <w:lang w:val="uk-UA" w:eastAsia="ar-SA"/>
              </w:rPr>
            </w:pPr>
            <w:r w:rsidRPr="00585267">
              <w:rPr>
                <w:lang w:val="uk-UA" w:eastAsia="ar-SA"/>
              </w:rPr>
              <w:t>- Інспекція стану, очищення та перевірка працездатності систем охолодження та повітряних фільтрів.</w:t>
            </w:r>
          </w:p>
          <w:p w14:paraId="0309F8A2" w14:textId="39EF8362" w:rsidR="00192E79" w:rsidRPr="00585267" w:rsidRDefault="00192E79" w:rsidP="00CD7695">
            <w:pPr>
              <w:numPr>
                <w:ilvl w:val="0"/>
                <w:numId w:val="1"/>
              </w:numPr>
              <w:rPr>
                <w:lang w:val="uk-UA" w:eastAsia="ar-SA"/>
              </w:rPr>
            </w:pPr>
            <w:r w:rsidRPr="00585267">
              <w:rPr>
                <w:lang w:val="uk-UA" w:eastAsia="ar-SA"/>
              </w:rPr>
              <w:lastRenderedPageBreak/>
              <w:t>Збирання й очищення компонентів корпусу томографа, налаштування працездатності систем та усунення виявлених недоліків.</w:t>
            </w:r>
          </w:p>
          <w:p w14:paraId="3A5216B4" w14:textId="2F34CD41" w:rsidR="00192E79" w:rsidRPr="00585267" w:rsidRDefault="00192E79" w:rsidP="003365A0">
            <w:pPr>
              <w:numPr>
                <w:ilvl w:val="0"/>
                <w:numId w:val="1"/>
              </w:numPr>
              <w:rPr>
                <w:lang w:val="uk-UA" w:eastAsia="ar-SA"/>
              </w:rPr>
            </w:pPr>
            <w:r w:rsidRPr="00585267">
              <w:rPr>
                <w:lang w:val="uk-UA" w:eastAsia="ar-SA"/>
              </w:rPr>
              <w:t>Перевірка систем комп'ютерного контролю виконання процесів, проведення імітації діагностичних процедур на апараті.</w:t>
            </w:r>
          </w:p>
          <w:p w14:paraId="7A3DD606" w14:textId="77777777" w:rsidR="00192E79" w:rsidRPr="00A53912" w:rsidRDefault="00192E79" w:rsidP="00CD7695">
            <w:pPr>
              <w:rPr>
                <w:rFonts w:eastAsia="Calibri"/>
                <w:b/>
                <w:lang w:val="uk-UA"/>
              </w:rPr>
            </w:pPr>
            <w:r w:rsidRPr="00A53912">
              <w:rPr>
                <w:b/>
                <w:lang w:val="uk-UA"/>
              </w:rPr>
              <w:t>Якісні вимоги до послуг:</w:t>
            </w:r>
          </w:p>
          <w:p w14:paraId="7C0B44B6" w14:textId="77777777" w:rsidR="00A53912" w:rsidRPr="00A53912" w:rsidRDefault="00AA6E2B" w:rsidP="00A53912">
            <w:pPr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lang w:val="uk-UA"/>
              </w:rPr>
            </w:pPr>
            <w:r w:rsidRPr="00A53912">
              <w:rPr>
                <w:bCs/>
                <w:lang w:val="uk-UA"/>
              </w:rPr>
              <w:t>Послуга з діагностики несправності</w:t>
            </w:r>
            <w:r w:rsidR="00192E79" w:rsidRPr="00A53912">
              <w:rPr>
                <w:lang w:val="uk-UA"/>
              </w:rPr>
              <w:t>, згідно регламенту виробника.</w:t>
            </w:r>
          </w:p>
          <w:p w14:paraId="676C0B7A" w14:textId="3975DD50" w:rsidR="00A53912" w:rsidRPr="00A53912" w:rsidRDefault="00192E79" w:rsidP="00A53912">
            <w:pPr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lang w:val="uk-UA"/>
              </w:rPr>
            </w:pPr>
            <w:r w:rsidRPr="00A53912">
              <w:rPr>
                <w:lang w:val="uk-UA"/>
              </w:rPr>
              <w:t>Надання послуг передбачає приїзд інженера на територію Замовника</w:t>
            </w:r>
            <w:r w:rsidR="00A53912" w:rsidRPr="00A53912">
              <w:rPr>
                <w:lang w:val="uk-UA"/>
              </w:rPr>
              <w:t xml:space="preserve"> за </w:t>
            </w:r>
            <w:proofErr w:type="spellStart"/>
            <w:r w:rsidR="00A53912" w:rsidRPr="00A53912">
              <w:rPr>
                <w:lang w:val="uk-UA"/>
              </w:rPr>
              <w:t>адресою</w:t>
            </w:r>
            <w:proofErr w:type="spellEnd"/>
            <w:r w:rsidR="00A53912" w:rsidRPr="00A53912">
              <w:rPr>
                <w:lang w:val="uk-UA"/>
              </w:rPr>
              <w:t xml:space="preserve">: м. Київ, вул. Здановської Юлії, 33/43. </w:t>
            </w:r>
          </w:p>
          <w:p w14:paraId="5FF51FA1" w14:textId="393F5EC2" w:rsidR="00192E79" w:rsidRPr="00A53912" w:rsidRDefault="00A53912" w:rsidP="0089350A">
            <w:pPr>
              <w:numPr>
                <w:ilvl w:val="0"/>
                <w:numId w:val="1"/>
              </w:numPr>
              <w:tabs>
                <w:tab w:val="left" w:pos="744"/>
              </w:tabs>
              <w:ind w:left="360" w:hanging="41"/>
              <w:jc w:val="both"/>
              <w:rPr>
                <w:sz w:val="22"/>
                <w:szCs w:val="22"/>
                <w:lang w:val="uk-UA"/>
              </w:rPr>
            </w:pPr>
            <w:r w:rsidRPr="00A53912">
              <w:rPr>
                <w:lang w:val="uk-UA"/>
              </w:rPr>
              <w:t>Строк надання послуг: до 31.12.2025.</w:t>
            </w:r>
          </w:p>
          <w:p w14:paraId="23E7EC41" w14:textId="57C9072A" w:rsidR="00AA6E2B" w:rsidRPr="00A53912" w:rsidRDefault="00192E79" w:rsidP="00CD7695">
            <w:pPr>
              <w:tabs>
                <w:tab w:val="left" w:pos="540"/>
              </w:tabs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A53912">
              <w:rPr>
                <w:b/>
                <w:bCs/>
                <w:sz w:val="22"/>
                <w:szCs w:val="22"/>
                <w:lang w:val="uk-UA"/>
              </w:rPr>
              <w:t xml:space="preserve">Вимоги до </w:t>
            </w:r>
            <w:r w:rsidR="00D84A46" w:rsidRPr="00A53912">
              <w:rPr>
                <w:b/>
                <w:bCs/>
                <w:sz w:val="22"/>
                <w:szCs w:val="22"/>
                <w:lang w:val="uk-UA"/>
              </w:rPr>
              <w:t>учасника</w:t>
            </w:r>
            <w:r w:rsidRPr="00A53912">
              <w:rPr>
                <w:b/>
                <w:bCs/>
                <w:sz w:val="22"/>
                <w:szCs w:val="22"/>
                <w:lang w:val="uk-UA"/>
              </w:rPr>
              <w:t>:</w:t>
            </w:r>
          </w:p>
          <w:p w14:paraId="675B15E6" w14:textId="77777777" w:rsidR="00192E79" w:rsidRPr="00A53912" w:rsidRDefault="00192E79" w:rsidP="00CD7695">
            <w:pPr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rFonts w:eastAsia="Calibri"/>
                <w:lang w:val="uk-UA"/>
              </w:rPr>
            </w:pPr>
            <w:r w:rsidRPr="00A53912">
              <w:rPr>
                <w:sz w:val="22"/>
                <w:szCs w:val="22"/>
                <w:lang w:val="uk-UA"/>
              </w:rPr>
              <w:t xml:space="preserve"> </w:t>
            </w:r>
            <w:r w:rsidRPr="00A53912">
              <w:rPr>
                <w:lang w:val="uk-UA"/>
              </w:rPr>
              <w:t>Послуги повинні надаватися персоналом, який має відповідну кваліфікацію та досвід обслуговування комп'ютерних томографів (надати у складі тендерної пропозиції сертифікати спеціалістів (інженерів) про проходження відповідного навчання, видані виробником (</w:t>
            </w:r>
            <w:proofErr w:type="spellStart"/>
            <w:r w:rsidRPr="00A53912">
              <w:rPr>
                <w:lang w:val="uk-UA"/>
              </w:rPr>
              <w:t>Toshiba</w:t>
            </w:r>
            <w:proofErr w:type="spellEnd"/>
            <w:r w:rsidRPr="00A53912">
              <w:rPr>
                <w:lang w:val="uk-UA"/>
              </w:rPr>
              <w:t xml:space="preserve"> </w:t>
            </w:r>
            <w:proofErr w:type="spellStart"/>
            <w:r w:rsidRPr="00A53912">
              <w:rPr>
                <w:lang w:val="uk-UA"/>
              </w:rPr>
              <w:t>Medical</w:t>
            </w:r>
            <w:proofErr w:type="spellEnd"/>
            <w:r w:rsidRPr="00A53912">
              <w:rPr>
                <w:lang w:val="uk-UA"/>
              </w:rPr>
              <w:t xml:space="preserve"> або </w:t>
            </w:r>
            <w:proofErr w:type="spellStart"/>
            <w:r w:rsidRPr="00A53912">
              <w:rPr>
                <w:lang w:val="uk-UA"/>
              </w:rPr>
              <w:t>Canon</w:t>
            </w:r>
            <w:proofErr w:type="spellEnd"/>
            <w:r w:rsidRPr="00A53912">
              <w:rPr>
                <w:lang w:val="uk-UA"/>
              </w:rPr>
              <w:t xml:space="preserve"> </w:t>
            </w:r>
            <w:proofErr w:type="spellStart"/>
            <w:r w:rsidRPr="00A53912">
              <w:rPr>
                <w:lang w:val="uk-UA"/>
              </w:rPr>
              <w:t>Medical</w:t>
            </w:r>
            <w:proofErr w:type="spellEnd"/>
            <w:r w:rsidRPr="00A53912">
              <w:rPr>
                <w:lang w:val="uk-UA"/>
              </w:rPr>
              <w:t>).</w:t>
            </w:r>
          </w:p>
          <w:p w14:paraId="2C63FEC2" w14:textId="77777777" w:rsidR="00192E79" w:rsidRPr="00A53912" w:rsidRDefault="00192E79" w:rsidP="00CD7695">
            <w:pPr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lang w:val="uk-UA"/>
              </w:rPr>
            </w:pPr>
            <w:r w:rsidRPr="00A53912">
              <w:rPr>
                <w:lang w:val="uk-UA"/>
              </w:rPr>
              <w:t>З метою отримання гарантій на своєчасне надання послуг, що є предметом закупівлі, учасник надає у складі тендерної пропозиції гарантійний (</w:t>
            </w:r>
            <w:proofErr w:type="spellStart"/>
            <w:r w:rsidRPr="00A53912">
              <w:rPr>
                <w:lang w:val="uk-UA"/>
              </w:rPr>
              <w:t>авторизаційний</w:t>
            </w:r>
            <w:proofErr w:type="spellEnd"/>
            <w:r w:rsidRPr="00A53912">
              <w:rPr>
                <w:lang w:val="uk-UA"/>
              </w:rPr>
              <w:t>) лист (оригінал) виробника або представництва, дистриб’ютора, уповноваженого на це виробником або представництвом виробника на території України, яким підтверджується можливість Учасника надавати послуги, визначені цією Документацією та пропозицією Учасника.</w:t>
            </w:r>
          </w:p>
          <w:p w14:paraId="13312907" w14:textId="77777777" w:rsidR="00192E79" w:rsidRPr="00A53912" w:rsidRDefault="00192E79" w:rsidP="00CD7695">
            <w:pPr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lang w:val="uk-UA"/>
              </w:rPr>
            </w:pPr>
            <w:r w:rsidRPr="00A53912">
              <w:rPr>
                <w:lang w:val="uk-UA"/>
              </w:rPr>
              <w:t>Учасник повинен мати право на провадження діяльності з використання ДІВ (надати у складі тендерної пропозиції Ліцензію на право провадження діяльності з використання ДІВ на дане обладнання).</w:t>
            </w:r>
          </w:p>
          <w:p w14:paraId="5FFFAF22" w14:textId="0FABB526" w:rsidR="00192E79" w:rsidRPr="00A53912" w:rsidRDefault="00192E79" w:rsidP="00CD7695">
            <w:pPr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lang w:val="uk-UA"/>
              </w:rPr>
            </w:pPr>
            <w:r w:rsidRPr="00A53912">
              <w:rPr>
                <w:lang w:val="uk-UA"/>
              </w:rPr>
              <w:t>Учасник під час надання послуг повинен використовувати ЗВТ з урахуванням вимог Закону України «Про метрологію та метрологічну діяльність» (надати у складі тендерної пропозиції документ про оцінку відповідності законодавчо регульованого засобу вимірювальної техніки відповідним вимогам (декларацію про відповідність, або сертифікат відповідн</w:t>
            </w:r>
            <w:r w:rsidR="003365A0" w:rsidRPr="00A53912">
              <w:rPr>
                <w:lang w:val="uk-UA"/>
              </w:rPr>
              <w:t>ості або свідоцтво про повірку)</w:t>
            </w:r>
            <w:r w:rsidRPr="00A53912">
              <w:rPr>
                <w:lang w:val="uk-UA"/>
              </w:rPr>
              <w:t>.</w:t>
            </w:r>
          </w:p>
          <w:p w14:paraId="6EEE9107" w14:textId="77777777" w:rsidR="00192E79" w:rsidRPr="00A53912" w:rsidRDefault="00192E79" w:rsidP="00CD7695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bdr w:val="none" w:sz="0" w:space="0" w:color="auto" w:frame="1"/>
                <w:lang w:val="uk-UA"/>
              </w:rPr>
            </w:pPr>
          </w:p>
        </w:tc>
      </w:tr>
      <w:tr w:rsidR="00192E79" w:rsidRPr="0005343E" w14:paraId="495AB33D" w14:textId="77777777" w:rsidTr="00CD769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A812" w14:textId="77777777" w:rsidR="00192E79" w:rsidRPr="00A53912" w:rsidRDefault="00192E79" w:rsidP="00CD7695">
            <w:pPr>
              <w:pStyle w:val="a3"/>
              <w:spacing w:after="0"/>
              <w:jc w:val="both"/>
              <w:rPr>
                <w:rStyle w:val="a7"/>
                <w:rFonts w:cs="Times New Roman"/>
                <w:lang w:eastAsia="en-US"/>
              </w:rPr>
            </w:pPr>
            <w:r w:rsidRPr="00A53912">
              <w:rPr>
                <w:rStyle w:val="a7"/>
                <w:rFonts w:ascii="Times New Roman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9D97" w14:textId="77777777" w:rsidR="00192E79" w:rsidRPr="00A53912" w:rsidRDefault="00192E79" w:rsidP="00CD7695">
            <w:pPr>
              <w:pStyle w:val="a3"/>
              <w:spacing w:after="0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A53912">
              <w:rPr>
                <w:rStyle w:val="a7"/>
                <w:rFonts w:ascii="Times New Roman" w:hAnsi="Times New Roman" w:cs="Times New Roman"/>
                <w:lang w:eastAsia="en-US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AF28" w14:textId="7D43FDCB" w:rsidR="00192E79" w:rsidRPr="00A53912" w:rsidRDefault="00192E79" w:rsidP="00CD7695">
            <w:pPr>
              <w:pStyle w:val="a3"/>
              <w:spacing w:after="0"/>
              <w:jc w:val="both"/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53912">
              <w:rPr>
                <w:rStyle w:val="a7"/>
                <w:rFonts w:ascii="Times New Roman" w:hAnsi="Times New Roman"/>
                <w:lang w:eastAsia="en-US"/>
              </w:rPr>
              <w:t>Очікувана вартість виконано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A53912"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очікувана вартість  дорівнює комерційний пропозиції від </w:t>
            </w:r>
            <w:r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ТОВ «</w:t>
            </w:r>
            <w:proofErr w:type="spellStart"/>
            <w:r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Астріум</w:t>
            </w:r>
            <w:proofErr w:type="spellEnd"/>
            <w:r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» </w:t>
            </w:r>
            <w:r w:rsidRPr="00A53912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- </w:t>
            </w:r>
            <w:r w:rsidR="003365A0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 w:rsidR="00D84A46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 w:rsidR="003365A0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000,00 грн. (Тридцять</w:t>
            </w:r>
            <w:r w:rsidR="00D84A46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шість</w:t>
            </w:r>
            <w:r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тисяч г</w:t>
            </w:r>
            <w:r w:rsidR="003365A0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ривень, 00 копійок) у </w:t>
            </w:r>
            <w:proofErr w:type="spellStart"/>
            <w:r w:rsidR="003365A0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т.ч</w:t>
            </w:r>
            <w:proofErr w:type="spellEnd"/>
            <w:r w:rsidR="003365A0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. ПДВ </w:t>
            </w:r>
            <w:r w:rsidR="00A53912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000,00 грн.</w:t>
            </w:r>
          </w:p>
          <w:p w14:paraId="5F292616" w14:textId="77777777" w:rsidR="00192E79" w:rsidRPr="00A53912" w:rsidRDefault="00192E79" w:rsidP="00CD7695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A53912">
              <w:rPr>
                <w:rStyle w:val="a7"/>
                <w:rFonts w:ascii="Times New Roman" w:hAnsi="Times New Roman" w:cs="Times New Roman"/>
                <w:lang w:eastAsia="en-US"/>
              </w:rPr>
              <w:t>Розмір бюджетного призначення для предмета закупівлі не передбачається.</w:t>
            </w:r>
          </w:p>
          <w:p w14:paraId="48A6FD92" w14:textId="7116770B" w:rsidR="00192E79" w:rsidRPr="00A53912" w:rsidRDefault="00A53912" w:rsidP="00CD7695">
            <w:pPr>
              <w:pStyle w:val="a3"/>
              <w:jc w:val="both"/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</w:pPr>
            <w:r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Послуга з діагностики несправності </w:t>
            </w:r>
            <w:r w:rsidRPr="00A53912">
              <w:rPr>
                <w:rFonts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192E79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комп’ютерного томографу типу  </w:t>
            </w:r>
            <w:proofErr w:type="spellStart"/>
            <w:r w:rsidR="00192E79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Aquilion</w:t>
            </w:r>
            <w:proofErr w:type="spellEnd"/>
            <w:r w:rsidR="00192E79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192E79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Lightning</w:t>
            </w:r>
            <w:proofErr w:type="spellEnd"/>
            <w:r w:rsidR="00192E79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32-зрізовий </w:t>
            </w:r>
            <w:r w:rsidR="003365A0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(s/n 7CD2263417) </w:t>
            </w:r>
            <w:r w:rsidR="00192E79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виробник « </w:t>
            </w:r>
            <w:proofErr w:type="spellStart"/>
            <w:r w:rsidR="00192E79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Canon</w:t>
            </w:r>
            <w:proofErr w:type="spellEnd"/>
            <w:r w:rsidR="00192E79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192E79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Medical</w:t>
            </w:r>
            <w:proofErr w:type="spellEnd"/>
            <w:r w:rsidR="00192E79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192E79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Systems</w:t>
            </w:r>
            <w:proofErr w:type="spellEnd"/>
            <w:r w:rsidR="00192E79" w:rsidRPr="00A53912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(Японія)» </w:t>
            </w:r>
            <w:r w:rsidR="00192E79" w:rsidRPr="00A53912"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за кодом ДК 021:2015: 50420000-5 «Послуги з ремонту і технічного обслуговування медичного та хірургічного обладнання»</w:t>
            </w:r>
            <w:r w:rsidR="00192E79" w:rsidRPr="00A53912">
              <w:rPr>
                <w:rStyle w:val="a7"/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379B05E6" w14:textId="77777777" w:rsidR="00192E79" w:rsidRPr="00A53912" w:rsidRDefault="00192E79" w:rsidP="00192E79">
      <w:pPr>
        <w:pStyle w:val="a3"/>
        <w:tabs>
          <w:tab w:val="left" w:pos="1970"/>
        </w:tabs>
        <w:spacing w:after="0"/>
        <w:jc w:val="both"/>
        <w:rPr>
          <w:rStyle w:val="a7"/>
          <w:rFonts w:ascii="Times New Roman" w:hAnsi="Times New Roman" w:cs="Times New Roman"/>
        </w:rPr>
      </w:pPr>
    </w:p>
    <w:p w14:paraId="69C88AF1" w14:textId="77777777" w:rsidR="003365A0" w:rsidRPr="00A53912" w:rsidRDefault="00192E79" w:rsidP="00192E79">
      <w:pPr>
        <w:pStyle w:val="a3"/>
        <w:tabs>
          <w:tab w:val="left" w:pos="1970"/>
        </w:tabs>
        <w:spacing w:after="0"/>
        <w:jc w:val="both"/>
        <w:rPr>
          <w:rStyle w:val="a7"/>
          <w:rFonts w:ascii="Times New Roman" w:hAnsi="Times New Roman" w:cs="Times New Roman"/>
        </w:rPr>
      </w:pPr>
      <w:r w:rsidRPr="00A53912">
        <w:rPr>
          <w:rStyle w:val="a7"/>
          <w:rFonts w:ascii="Times New Roman" w:hAnsi="Times New Roman" w:cs="Times New Roman"/>
        </w:rPr>
        <w:t xml:space="preserve">      </w:t>
      </w:r>
      <w:r w:rsidR="003365A0" w:rsidRPr="00A53912">
        <w:rPr>
          <w:rStyle w:val="a7"/>
          <w:rFonts w:ascii="Times New Roman" w:hAnsi="Times New Roman" w:cs="Times New Roman"/>
        </w:rPr>
        <w:t xml:space="preserve"> </w:t>
      </w:r>
      <w:r w:rsidRPr="00A53912">
        <w:rPr>
          <w:rStyle w:val="a7"/>
          <w:rFonts w:ascii="Times New Roman" w:hAnsi="Times New Roman" w:cs="Times New Roman"/>
        </w:rPr>
        <w:t xml:space="preserve">Виконуючого обов’язки начальника </w:t>
      </w:r>
    </w:p>
    <w:p w14:paraId="57897090" w14:textId="148E2E8C" w:rsidR="00192E79" w:rsidRPr="00A53912" w:rsidRDefault="003365A0" w:rsidP="00192E79">
      <w:pPr>
        <w:pStyle w:val="a3"/>
        <w:tabs>
          <w:tab w:val="left" w:pos="1970"/>
        </w:tabs>
        <w:spacing w:after="0"/>
        <w:jc w:val="both"/>
        <w:rPr>
          <w:rStyle w:val="a7"/>
          <w:rFonts w:ascii="Times New Roman" w:hAnsi="Times New Roman" w:cs="Times New Roman"/>
        </w:rPr>
      </w:pPr>
      <w:r w:rsidRPr="00A53912">
        <w:rPr>
          <w:rStyle w:val="a7"/>
          <w:rFonts w:ascii="Times New Roman" w:hAnsi="Times New Roman" w:cs="Times New Roman"/>
        </w:rPr>
        <w:t xml:space="preserve">       </w:t>
      </w:r>
      <w:r w:rsidR="00192E79" w:rsidRPr="00A53912">
        <w:rPr>
          <w:rStyle w:val="a7"/>
          <w:rFonts w:ascii="Times New Roman" w:hAnsi="Times New Roman" w:cs="Times New Roman"/>
        </w:rPr>
        <w:t>сектора обслуговування</w:t>
      </w:r>
      <w:r w:rsidRPr="00A53912">
        <w:rPr>
          <w:rStyle w:val="a7"/>
          <w:rFonts w:ascii="Times New Roman" w:hAnsi="Times New Roman" w:cs="Times New Roman"/>
        </w:rPr>
        <w:t xml:space="preserve"> </w:t>
      </w:r>
    </w:p>
    <w:p w14:paraId="4EB01708" w14:textId="77777777" w:rsidR="00192E79" w:rsidRPr="00A53912" w:rsidRDefault="00192E79" w:rsidP="00192E79">
      <w:pPr>
        <w:pStyle w:val="a3"/>
        <w:tabs>
          <w:tab w:val="left" w:pos="1970"/>
        </w:tabs>
        <w:spacing w:after="0"/>
        <w:jc w:val="both"/>
        <w:rPr>
          <w:rStyle w:val="a7"/>
          <w:rFonts w:ascii="Times New Roman" w:hAnsi="Times New Roman" w:cs="Times New Roman"/>
        </w:rPr>
      </w:pPr>
      <w:r w:rsidRPr="00A53912">
        <w:rPr>
          <w:rStyle w:val="a7"/>
          <w:rFonts w:ascii="Times New Roman" w:hAnsi="Times New Roman" w:cs="Times New Roman"/>
        </w:rPr>
        <w:t xml:space="preserve">       та ремонту медичного обладнання                                             ____________        Едуард ЧЕХОВСЬКИЙ</w:t>
      </w:r>
    </w:p>
    <w:p w14:paraId="54707C20" w14:textId="6EBE58B5" w:rsidR="00192E79" w:rsidRPr="003365A0" w:rsidRDefault="00192E79" w:rsidP="00192E79">
      <w:pPr>
        <w:pStyle w:val="a3"/>
        <w:tabs>
          <w:tab w:val="left" w:pos="197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365A0">
        <w:rPr>
          <w:rStyle w:val="a7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="003365A0">
        <w:rPr>
          <w:rStyle w:val="a7"/>
          <w:rFonts w:ascii="Times New Roman" w:hAnsi="Times New Roman" w:cs="Times New Roman"/>
          <w:sz w:val="18"/>
          <w:szCs w:val="18"/>
        </w:rPr>
        <w:t xml:space="preserve">                        </w:t>
      </w:r>
      <w:r w:rsidRPr="003365A0">
        <w:rPr>
          <w:rStyle w:val="a7"/>
          <w:rFonts w:ascii="Times New Roman" w:hAnsi="Times New Roman" w:cs="Times New Roman"/>
          <w:sz w:val="18"/>
          <w:szCs w:val="18"/>
        </w:rPr>
        <w:t xml:space="preserve">         підпис</w:t>
      </w:r>
      <w:r w:rsidRPr="003365A0">
        <w:rPr>
          <w:rStyle w:val="a7"/>
          <w:rFonts w:ascii="Times New Roman" w:hAnsi="Times New Roman" w:cs="Times New Roman"/>
          <w:sz w:val="18"/>
          <w:szCs w:val="18"/>
        </w:rPr>
        <w:tab/>
      </w:r>
      <w:bookmarkStart w:id="0" w:name="kix.v3hhvhfmij61"/>
      <w:bookmarkEnd w:id="0"/>
    </w:p>
    <w:sectPr w:rsidR="00192E79" w:rsidRPr="003365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77DC2"/>
    <w:multiLevelType w:val="hybridMultilevel"/>
    <w:tmpl w:val="C41CE540"/>
    <w:lvl w:ilvl="0" w:tplc="BDA299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9209C"/>
    <w:multiLevelType w:val="hybridMultilevel"/>
    <w:tmpl w:val="76844030"/>
    <w:lvl w:ilvl="0" w:tplc="1AD0094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6816530">
    <w:abstractNumId w:val="0"/>
  </w:num>
  <w:num w:numId="2" w16cid:durableId="154761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437"/>
    <w:rsid w:val="0005343E"/>
    <w:rsid w:val="00192E79"/>
    <w:rsid w:val="003365A0"/>
    <w:rsid w:val="00377B7B"/>
    <w:rsid w:val="00385626"/>
    <w:rsid w:val="005775B2"/>
    <w:rsid w:val="00585267"/>
    <w:rsid w:val="00605ED8"/>
    <w:rsid w:val="007C5437"/>
    <w:rsid w:val="0089350A"/>
    <w:rsid w:val="00926C3C"/>
    <w:rsid w:val="009A35C9"/>
    <w:rsid w:val="00A53912"/>
    <w:rsid w:val="00AA6E2B"/>
    <w:rsid w:val="00B63F34"/>
    <w:rsid w:val="00CB4A86"/>
    <w:rsid w:val="00D84A46"/>
    <w:rsid w:val="00F5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DF36"/>
  <w15:chartTrackingRefBased/>
  <w15:docId w15:val="{2A23B447-1670-4F84-A055-E40E7CE1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E7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nhideWhenUsed/>
    <w:rsid w:val="00192E79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4">
    <w:name w:val="Основний текст Знак"/>
    <w:basedOn w:val="a0"/>
    <w:link w:val="a3"/>
    <w:rsid w:val="00192E79"/>
    <w:rPr>
      <w:rFonts w:ascii="Calibri" w:eastAsia="Arial Unicode MS" w:hAnsi="Calibri" w:cs="Arial Unicode MS"/>
      <w:color w:val="000000"/>
      <w:u w:color="000000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Абзац списку Знак"/>
    <w:aliases w:val="Number Bullets Знак,AC List 01 Знак"/>
    <w:link w:val="a6"/>
    <w:uiPriority w:val="99"/>
    <w:locked/>
    <w:rsid w:val="00192E79"/>
    <w:rPr>
      <w:rFonts w:ascii="Calibri" w:eastAsia="Calibri" w:hAnsi="Calibri" w:cs="Times New Roman"/>
      <w:lang w:val="ru-RU"/>
    </w:rPr>
  </w:style>
  <w:style w:type="paragraph" w:styleId="a6">
    <w:name w:val="List Paragraph"/>
    <w:aliases w:val="Number Bullets,AC List 01"/>
    <w:basedOn w:val="a"/>
    <w:link w:val="a5"/>
    <w:uiPriority w:val="99"/>
    <w:qFormat/>
    <w:rsid w:val="00192E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7">
    <w:name w:val="Немає"/>
    <w:rsid w:val="00192E79"/>
  </w:style>
  <w:style w:type="table" w:styleId="a8">
    <w:name w:val="Table Grid"/>
    <w:basedOn w:val="a1"/>
    <w:uiPriority w:val="39"/>
    <w:rsid w:val="00192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8562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85626"/>
    <w:rPr>
      <w:rFonts w:ascii="Segoe UI" w:eastAsia="Arial Unicode MS" w:hAnsi="Segoe UI" w:cs="Segoe UI"/>
      <w:sz w:val="18"/>
      <w:szCs w:val="18"/>
      <w:lang w:val="en-US"/>
    </w:rPr>
  </w:style>
  <w:style w:type="character" w:styleId="ab">
    <w:name w:val="Hyperlink"/>
    <w:basedOn w:val="a0"/>
    <w:uiPriority w:val="99"/>
    <w:unhideWhenUsed/>
    <w:rsid w:val="0005343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53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5-22-00473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3390</Words>
  <Characters>1933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Іларіон Улич</dc:creator>
  <cp:keywords/>
  <dc:description/>
  <cp:lastModifiedBy>Едуард Оскольський</cp:lastModifiedBy>
  <cp:revision>4</cp:revision>
  <cp:lastPrinted>2024-08-15T14:08:00Z</cp:lastPrinted>
  <dcterms:created xsi:type="dcterms:W3CDTF">2025-05-16T13:56:00Z</dcterms:created>
  <dcterms:modified xsi:type="dcterms:W3CDTF">2025-05-27T05:49:00Z</dcterms:modified>
</cp:coreProperties>
</file>