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6C7C" w14:textId="3D38A0DF" w:rsidR="00B8660E" w:rsidRPr="000B6B7F" w:rsidRDefault="00280E14" w:rsidP="00230DDD">
      <w:pPr>
        <w:pStyle w:val="a4"/>
        <w:spacing w:after="0" w:line="240" w:lineRule="auto"/>
        <w:jc w:val="center"/>
        <w:rPr>
          <w:rStyle w:val="a6"/>
          <w:rFonts w:ascii="Times New Roman" w:hAnsi="Times New Roman" w:cs="Times New Roman"/>
        </w:rPr>
      </w:pPr>
      <w:bookmarkStart w:id="0" w:name="kix.v3hhvhfmij61"/>
      <w:r w:rsidRPr="00F532BF">
        <w:rPr>
          <w:rFonts w:ascii="Times New Roman" w:eastAsia="Times New Roman" w:hAnsi="Times New Roman" w:cs="Times New Roman"/>
          <w:noProof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</w:t>
      </w:r>
      <w:r w:rsidRPr="000B6B7F">
        <w:rPr>
          <w:rFonts w:ascii="Times New Roman" w:eastAsia="Times New Roman" w:hAnsi="Times New Roman" w:cs="Times New Roman"/>
          <w:noProof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                  </w:t>
      </w:r>
    </w:p>
    <w:p w14:paraId="1A7EC5D0" w14:textId="4DBC341C" w:rsidR="0078441A" w:rsidRPr="000B6B7F" w:rsidRDefault="00B8660E" w:rsidP="00B8660E">
      <w:pPr>
        <w:pStyle w:val="a4"/>
        <w:tabs>
          <w:tab w:val="left" w:pos="2000"/>
        </w:tabs>
        <w:spacing w:after="0" w:line="240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0B6B7F">
        <w:rPr>
          <w:rStyle w:val="a6"/>
          <w:rFonts w:ascii="Times New Roman" w:hAnsi="Times New Roman" w:cs="Times New Roman"/>
          <w:sz w:val="28"/>
          <w:szCs w:val="28"/>
        </w:rPr>
        <w:tab/>
      </w:r>
    </w:p>
    <w:p w14:paraId="1B18C9AA" w14:textId="77777777" w:rsidR="00174909" w:rsidRPr="000B6B7F" w:rsidRDefault="00174909" w:rsidP="00B8660E">
      <w:pPr>
        <w:pStyle w:val="a4"/>
        <w:tabs>
          <w:tab w:val="left" w:pos="2000"/>
        </w:tabs>
        <w:spacing w:after="0" w:line="240" w:lineRule="auto"/>
        <w:rPr>
          <w:rStyle w:val="a6"/>
          <w:rFonts w:ascii="Times New Roman" w:hAnsi="Times New Roman" w:cs="Times New Roman"/>
          <w:sz w:val="28"/>
          <w:szCs w:val="28"/>
        </w:rPr>
      </w:pPr>
    </w:p>
    <w:p w14:paraId="2BC3E262" w14:textId="77777777" w:rsidR="00174909" w:rsidRPr="000B6B7F" w:rsidRDefault="00174909" w:rsidP="00B8660E">
      <w:pPr>
        <w:pStyle w:val="a4"/>
        <w:tabs>
          <w:tab w:val="left" w:pos="2000"/>
        </w:tabs>
        <w:spacing w:after="0" w:line="240" w:lineRule="auto"/>
        <w:rPr>
          <w:rStyle w:val="a6"/>
          <w:rFonts w:ascii="Times New Roman" w:hAnsi="Times New Roman" w:cs="Times New Roman"/>
          <w:sz w:val="28"/>
          <w:szCs w:val="28"/>
        </w:rPr>
      </w:pPr>
    </w:p>
    <w:p w14:paraId="65AF393E" w14:textId="02E03434" w:rsidR="00821C8F" w:rsidRPr="007E2DF9" w:rsidRDefault="00B8660E" w:rsidP="002F138C">
      <w:pPr>
        <w:pStyle w:val="a4"/>
        <w:spacing w:after="0"/>
        <w:jc w:val="center"/>
        <w:rPr>
          <w:rStyle w:val="a6"/>
          <w:rFonts w:ascii="Times New Roman" w:hAnsi="Times New Roman" w:cs="Times New Roman"/>
          <w:sz w:val="24"/>
          <w:szCs w:val="24"/>
          <w:lang w:val="ru-RU"/>
        </w:rPr>
      </w:pPr>
      <w:r w:rsidRPr="000B6B7F">
        <w:rPr>
          <w:rStyle w:val="a6"/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A32BDD" w:rsidRPr="000B6B7F">
        <w:rPr>
          <w:rStyle w:val="a6"/>
          <w:rFonts w:ascii="Times New Roman" w:hAnsi="Times New Roman" w:cs="Times New Roman"/>
          <w:sz w:val="24"/>
          <w:szCs w:val="24"/>
        </w:rPr>
        <w:t>.</w:t>
      </w:r>
    </w:p>
    <w:p w14:paraId="2FB5ECE9" w14:textId="77777777" w:rsidR="000B6B7F" w:rsidRPr="007E2DF9" w:rsidRDefault="000B6B7F" w:rsidP="002F138C">
      <w:pPr>
        <w:pStyle w:val="a4"/>
        <w:spacing w:after="0"/>
        <w:jc w:val="center"/>
        <w:rPr>
          <w:rStyle w:val="a6"/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60"/>
        <w:gridCol w:w="6946"/>
      </w:tblGrid>
      <w:tr w:rsidR="00230DDD" w:rsidRPr="000B6B7F" w14:paraId="57F98574" w14:textId="77777777" w:rsidTr="00D009B7">
        <w:tc>
          <w:tcPr>
            <w:tcW w:w="3260" w:type="dxa"/>
          </w:tcPr>
          <w:p w14:paraId="220CF28D" w14:textId="38BADFA7" w:rsidR="00230DDD" w:rsidRPr="000B6B7F" w:rsidRDefault="00230DDD" w:rsidP="000B6B7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Назва предмета закупівлі згідно класифікатора, код ДК 021:2015</w:t>
            </w:r>
          </w:p>
        </w:tc>
        <w:tc>
          <w:tcPr>
            <w:tcW w:w="6946" w:type="dxa"/>
          </w:tcPr>
          <w:p w14:paraId="08434F0F" w14:textId="11823841" w:rsidR="00995E60" w:rsidRPr="000B6B7F" w:rsidRDefault="000B6B7F" w:rsidP="000B6B7F">
            <w:pPr>
              <w:jc w:val="both"/>
              <w:rPr>
                <w:b/>
                <w:bCs/>
                <w:lang w:val="uk-UA"/>
              </w:rPr>
            </w:pPr>
            <w:r w:rsidRPr="000B6B7F">
              <w:rPr>
                <w:lang w:val="uk-UA"/>
              </w:rPr>
              <w:t>П</w:t>
            </w:r>
            <w:r w:rsidR="00995E60" w:rsidRPr="000B6B7F">
              <w:rPr>
                <w:lang w:val="uk-UA"/>
              </w:rPr>
              <w:t xml:space="preserve">ослуги з  ремонту </w:t>
            </w:r>
            <w:proofErr w:type="spellStart"/>
            <w:r w:rsidR="00995E60" w:rsidRPr="000B6B7F">
              <w:rPr>
                <w:b/>
                <w:bCs/>
                <w:lang w:val="uk-UA"/>
              </w:rPr>
              <w:t>Eлектрохірургічного</w:t>
            </w:r>
            <w:proofErr w:type="spellEnd"/>
            <w:r w:rsidR="00995E60" w:rsidRPr="000B6B7F">
              <w:rPr>
                <w:b/>
                <w:bCs/>
                <w:lang w:val="uk-UA"/>
              </w:rPr>
              <w:t xml:space="preserve"> блоку ESG-400, серійний номер – B010576,</w:t>
            </w:r>
          </w:p>
          <w:p w14:paraId="193CB224" w14:textId="77777777" w:rsidR="00995E60" w:rsidRPr="000B6B7F" w:rsidRDefault="00995E60" w:rsidP="000B6B7F">
            <w:pPr>
              <w:pStyle w:val="50"/>
              <w:shd w:val="clear" w:color="auto" w:fill="auto"/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6B7F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Виробник - </w:t>
            </w:r>
            <w:bookmarkStart w:id="1" w:name="_Hlk158220006"/>
            <w:proofErr w:type="spellStart"/>
            <w:r w:rsidRPr="000B6B7F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Olympus</w:t>
            </w:r>
            <w:proofErr w:type="spellEnd"/>
            <w:r w:rsidRPr="000B6B7F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B6B7F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Medical</w:t>
            </w:r>
            <w:proofErr w:type="spellEnd"/>
            <w:r w:rsidRPr="000B6B7F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B6B7F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Systems</w:t>
            </w:r>
            <w:proofErr w:type="spellEnd"/>
            <w:r w:rsidRPr="000B6B7F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B6B7F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Corp</w:t>
            </w:r>
            <w:proofErr w:type="spellEnd"/>
            <w:r w:rsidRPr="000B6B7F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>., Японія</w:t>
            </w:r>
            <w:bookmarkEnd w:id="1"/>
            <w:r w:rsidRPr="000B6B7F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 w:rsidRPr="000B6B7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згідно коду класифікатора  ДК 021:2015: 50420000-5 «Послуги з ремонту і технічного обслуговування медичного та хірургічного обладнання» </w:t>
            </w:r>
          </w:p>
          <w:p w14:paraId="65C1D447" w14:textId="7E7B7E7C" w:rsidR="00230DDD" w:rsidRPr="007E2DF9" w:rsidRDefault="007E2DF9" w:rsidP="007E2DF9">
            <w:pPr>
              <w:pStyle w:val="a4"/>
              <w:spacing w:after="0"/>
              <w:jc w:val="both"/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tgtFrame="_blank" w:history="1">
              <w:r w:rsidRPr="007E2DF9">
                <w:rPr>
                  <w:rStyle w:val="a3"/>
                  <w:rFonts w:ascii="Times New Roman" w:hAnsi="Times New Roman" w:cs="Times New Roman"/>
                  <w:b/>
                  <w:bCs/>
                  <w:color w:val="0070C0"/>
                  <w:sz w:val="24"/>
                  <w:szCs w:val="24"/>
                  <w:lang w:val="en-US"/>
                </w:rPr>
                <w:t>UA-2025-05-21-011491-a</w:t>
              </w:r>
            </w:hyperlink>
            <w:r w:rsidRPr="007E2DF9">
              <w:rPr>
                <w:rStyle w:val="a6"/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</w:tc>
      </w:tr>
      <w:tr w:rsidR="00230DDD" w:rsidRPr="000B6B7F" w14:paraId="5D7A39D9" w14:textId="77777777" w:rsidTr="00D009B7">
        <w:trPr>
          <w:trHeight w:val="537"/>
        </w:trPr>
        <w:tc>
          <w:tcPr>
            <w:tcW w:w="3260" w:type="dxa"/>
          </w:tcPr>
          <w:p w14:paraId="7755077D" w14:textId="2569C491" w:rsidR="00230DDD" w:rsidRPr="000B6B7F" w:rsidRDefault="00230DDD" w:rsidP="000B6B7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15EB36F6" w14:textId="237916E7" w:rsidR="00995E60" w:rsidRPr="000B6B7F" w:rsidRDefault="00995E60" w:rsidP="000B6B7F">
            <w:pPr>
              <w:jc w:val="both"/>
              <w:rPr>
                <w:rFonts w:eastAsia="Times New Roman"/>
                <w:color w:val="000000"/>
                <w:bdr w:val="none" w:sz="0" w:space="0" w:color="auto"/>
                <w:lang w:val="uk-UA" w:eastAsia="uk-UA"/>
              </w:rPr>
            </w:pPr>
            <w:r w:rsidRPr="000B6B7F">
              <w:rPr>
                <w:rFonts w:eastAsia="Times New Roman"/>
                <w:color w:val="000000"/>
                <w:bdr w:val="none" w:sz="0" w:space="0" w:color="auto"/>
                <w:lang w:val="uk-UA" w:eastAsia="uk-UA"/>
              </w:rPr>
              <w:t xml:space="preserve">Послуги з  ремонту </w:t>
            </w:r>
            <w:proofErr w:type="spellStart"/>
            <w:r w:rsidRPr="000B6B7F">
              <w:rPr>
                <w:rFonts w:eastAsia="Times New Roman"/>
                <w:color w:val="000000"/>
                <w:bdr w:val="none" w:sz="0" w:space="0" w:color="auto"/>
                <w:lang w:val="uk-UA" w:eastAsia="uk-UA"/>
              </w:rPr>
              <w:t>Eлектрохірургічного</w:t>
            </w:r>
            <w:proofErr w:type="spellEnd"/>
            <w:r w:rsidRPr="000B6B7F">
              <w:rPr>
                <w:rFonts w:eastAsia="Times New Roman"/>
                <w:color w:val="000000"/>
                <w:bdr w:val="none" w:sz="0" w:space="0" w:color="auto"/>
                <w:lang w:val="uk-UA" w:eastAsia="uk-UA"/>
              </w:rPr>
              <w:t xml:space="preserve"> блоку ESG-400, серійний номер – B010576, мають бути </w:t>
            </w:r>
            <w:r w:rsidR="000B6B7F" w:rsidRPr="000B6B7F">
              <w:rPr>
                <w:rFonts w:eastAsia="Times New Roman"/>
                <w:color w:val="000000"/>
                <w:bdr w:val="none" w:sz="0" w:space="0" w:color="auto"/>
                <w:lang w:val="uk-UA" w:eastAsia="uk-UA"/>
              </w:rPr>
              <w:t>виконані</w:t>
            </w:r>
            <w:r w:rsidRPr="000B6B7F">
              <w:rPr>
                <w:rFonts w:eastAsia="Times New Roman"/>
                <w:color w:val="000000"/>
                <w:bdr w:val="none" w:sz="0" w:space="0" w:color="auto"/>
                <w:lang w:val="uk-UA" w:eastAsia="uk-UA"/>
              </w:rPr>
              <w:t xml:space="preserve"> у наступному об’ємі:</w:t>
            </w:r>
          </w:p>
          <w:p w14:paraId="7BA835BC" w14:textId="77777777" w:rsidR="00995E60" w:rsidRPr="000B6B7F" w:rsidRDefault="00995E60" w:rsidP="000B6B7F">
            <w:pPr>
              <w:pStyle w:val="TableParagraph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</w:p>
          <w:p w14:paraId="7F225A3D" w14:textId="77777777" w:rsidR="00995E60" w:rsidRPr="000B6B7F" w:rsidRDefault="00995E60" w:rsidP="000B6B7F">
            <w:pPr>
              <w:pStyle w:val="TableParagraph"/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0B6B7F">
              <w:rPr>
                <w:color w:val="000000"/>
                <w:sz w:val="24"/>
                <w:szCs w:val="24"/>
                <w:lang w:val="uk-UA" w:eastAsia="uk-UA"/>
              </w:rPr>
              <w:t xml:space="preserve">розбирання </w:t>
            </w:r>
            <w:proofErr w:type="spellStart"/>
            <w:r w:rsidRPr="000B6B7F">
              <w:rPr>
                <w:color w:val="000000"/>
                <w:sz w:val="24"/>
                <w:szCs w:val="24"/>
                <w:lang w:val="uk-UA" w:eastAsia="uk-UA"/>
              </w:rPr>
              <w:t>Eлектрохірургічний</w:t>
            </w:r>
            <w:proofErr w:type="spellEnd"/>
            <w:r w:rsidRPr="000B6B7F">
              <w:rPr>
                <w:color w:val="000000"/>
                <w:sz w:val="24"/>
                <w:szCs w:val="24"/>
                <w:lang w:val="uk-UA" w:eastAsia="uk-UA"/>
              </w:rPr>
              <w:t xml:space="preserve"> блок ESG-400;</w:t>
            </w:r>
          </w:p>
          <w:p w14:paraId="63ECDA8E" w14:textId="77777777" w:rsidR="00995E60" w:rsidRPr="000B6B7F" w:rsidRDefault="00995E60" w:rsidP="000B6B7F">
            <w:pPr>
              <w:pStyle w:val="TableParagraph"/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0B6B7F">
              <w:rPr>
                <w:color w:val="000000"/>
                <w:sz w:val="24"/>
                <w:szCs w:val="24"/>
                <w:lang w:val="uk-UA" w:eastAsia="uk-UA"/>
              </w:rPr>
              <w:t>очищення дезінфекція;</w:t>
            </w:r>
          </w:p>
          <w:p w14:paraId="1089784B" w14:textId="77777777" w:rsidR="00995E60" w:rsidRPr="000B6B7F" w:rsidRDefault="00995E60" w:rsidP="000B6B7F">
            <w:pPr>
              <w:pStyle w:val="TableParagraph"/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  <w:r w:rsidRPr="000B6B7F">
              <w:rPr>
                <w:color w:val="000000"/>
                <w:sz w:val="24"/>
                <w:szCs w:val="24"/>
                <w:lang w:val="uk-UA" w:eastAsia="ru-RU"/>
              </w:rPr>
              <w:t>ремонт, заміна</w:t>
            </w:r>
            <w:r w:rsidRPr="000B6B7F">
              <w:rPr>
                <w:color w:val="000000"/>
                <w:sz w:val="24"/>
                <w:szCs w:val="24"/>
                <w:lang w:val="uk-UA" w:eastAsia="uk-UA"/>
              </w:rPr>
              <w:t xml:space="preserve"> плати HVPS (плата високовольтного джерела живлення)</w:t>
            </w:r>
            <w:r w:rsidRPr="000B6B7F">
              <w:rPr>
                <w:color w:val="000000"/>
                <w:sz w:val="24"/>
                <w:szCs w:val="24"/>
                <w:lang w:val="uk-UA" w:eastAsia="ru-RU"/>
              </w:rPr>
              <w:t>;</w:t>
            </w:r>
          </w:p>
          <w:p w14:paraId="04D88EA5" w14:textId="77777777" w:rsidR="00995E60" w:rsidRPr="000B6B7F" w:rsidRDefault="00995E60" w:rsidP="000B6B7F">
            <w:pPr>
              <w:pStyle w:val="TableParagraph"/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  <w:r w:rsidRPr="000B6B7F">
              <w:rPr>
                <w:color w:val="000000"/>
                <w:sz w:val="24"/>
                <w:szCs w:val="24"/>
                <w:lang w:val="uk-UA" w:eastAsia="uk-UA"/>
              </w:rPr>
              <w:t>випробування та перевірка електробезпеки</w:t>
            </w:r>
            <w:r w:rsidRPr="000B6B7F">
              <w:rPr>
                <w:color w:val="000000"/>
                <w:sz w:val="24"/>
                <w:szCs w:val="24"/>
                <w:lang w:val="uk-UA" w:eastAsia="ru-RU"/>
              </w:rPr>
              <w:t>;</w:t>
            </w:r>
          </w:p>
          <w:p w14:paraId="02E508AB" w14:textId="77777777" w:rsidR="00995E60" w:rsidRPr="000B6B7F" w:rsidRDefault="00995E60" w:rsidP="000B6B7F">
            <w:pPr>
              <w:pStyle w:val="TableParagraph"/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  <w:r w:rsidRPr="000B6B7F">
              <w:rPr>
                <w:color w:val="000000"/>
                <w:sz w:val="24"/>
                <w:szCs w:val="24"/>
                <w:lang w:val="uk-UA" w:eastAsia="ru-RU"/>
              </w:rPr>
              <w:t>перевірка технічних характеристик</w:t>
            </w:r>
          </w:p>
          <w:p w14:paraId="54D6577F" w14:textId="77777777" w:rsidR="00995E60" w:rsidRPr="000B6B7F" w:rsidRDefault="00995E60" w:rsidP="000B6B7F">
            <w:pPr>
              <w:pStyle w:val="TableParagraph"/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</w:p>
          <w:p w14:paraId="719CBACF" w14:textId="77777777" w:rsidR="00CD1FF9" w:rsidRPr="000B6B7F" w:rsidRDefault="00CD1FF9" w:rsidP="000B6B7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B6B7F">
              <w:rPr>
                <w:rFonts w:ascii="Times New Roman" w:hAnsi="Times New Roman" w:cs="Times New Roman"/>
                <w:b/>
                <w:sz w:val="24"/>
                <w:szCs w:val="24"/>
              </w:rPr>
              <w:t>Кваліфікаційні критерії та перелік документів, що підтверджують інформацію учасників про відповідність їх таким критеріям.</w:t>
            </w:r>
          </w:p>
          <w:p w14:paraId="7DFE2810" w14:textId="77777777" w:rsidR="00CD1FF9" w:rsidRPr="000B6B7F" w:rsidRDefault="00CD1FF9" w:rsidP="000B6B7F">
            <w:pPr>
              <w:pStyle w:val="TableParagraph"/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</w:p>
          <w:p w14:paraId="74A9B4E1" w14:textId="10D2B982" w:rsidR="00995E60" w:rsidRPr="000B6B7F" w:rsidRDefault="00995E60" w:rsidP="000B6B7F">
            <w:pPr>
              <w:pStyle w:val="TableParagraph"/>
              <w:numPr>
                <w:ilvl w:val="0"/>
                <w:numId w:val="3"/>
              </w:numPr>
              <w:tabs>
                <w:tab w:val="left" w:pos="2895"/>
              </w:tabs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  <w:r w:rsidRPr="000B6B7F">
              <w:rPr>
                <w:sz w:val="24"/>
                <w:szCs w:val="24"/>
                <w:lang w:val="uk-UA" w:eastAsia="ru-RU"/>
              </w:rPr>
              <w:t>Послуги повинні здійснюватися сертифікованими інженерами, що мають відповідну кваліфікацію та досвід на проведення даних видів послуг</w:t>
            </w:r>
            <w:r w:rsidRPr="000B6B7F">
              <w:rPr>
                <w:sz w:val="24"/>
                <w:szCs w:val="24"/>
                <w:lang w:val="uk-UA"/>
              </w:rPr>
              <w:t xml:space="preserve">. </w:t>
            </w:r>
            <w:r w:rsidRPr="000B6B7F">
              <w:rPr>
                <w:sz w:val="24"/>
                <w:szCs w:val="24"/>
                <w:lang w:val="uk-UA" w:eastAsia="ru-RU"/>
              </w:rPr>
              <w:t>На підтвердження Учасник повинен надати копії сертифікатів, ліцензій сервісних інженерів, які мають повноваження проводити сервісне обслуговування Товару</w:t>
            </w:r>
          </w:p>
          <w:p w14:paraId="36B6DDCD" w14:textId="1100E495" w:rsidR="00995E60" w:rsidRPr="000B6B7F" w:rsidRDefault="00995E60" w:rsidP="000B6B7F">
            <w:pPr>
              <w:jc w:val="both"/>
              <w:rPr>
                <w:lang w:val="uk-UA"/>
              </w:rPr>
            </w:pPr>
            <w:r w:rsidRPr="000B6B7F">
              <w:rPr>
                <w:lang w:val="uk-UA"/>
              </w:rPr>
              <w:t xml:space="preserve"> </w:t>
            </w:r>
          </w:p>
          <w:p w14:paraId="625DC746" w14:textId="6A4DEC76" w:rsidR="00995E60" w:rsidRPr="000B6B7F" w:rsidRDefault="00995E60" w:rsidP="000B6B7F">
            <w:pPr>
              <w:pStyle w:val="TableParagraph"/>
              <w:numPr>
                <w:ilvl w:val="0"/>
                <w:numId w:val="3"/>
              </w:numPr>
              <w:tabs>
                <w:tab w:val="left" w:pos="2895"/>
              </w:tabs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  <w:r w:rsidRPr="000B6B7F">
              <w:rPr>
                <w:sz w:val="24"/>
                <w:szCs w:val="24"/>
                <w:lang w:val="uk-UA"/>
              </w:rPr>
              <w:t>Учасник при здійсненні технічного обслуговування повинен забезпечувати дотримання вимог нормативних документів в галузі охорони праці і техніки безпеки (</w:t>
            </w:r>
            <w:r w:rsidRPr="000B6B7F">
              <w:rPr>
                <w:bCs/>
                <w:sz w:val="24"/>
                <w:szCs w:val="24"/>
                <w:lang w:val="uk-UA" w:eastAsia="uk-UA"/>
              </w:rPr>
              <w:t>надати гарантійний лист від Учасника</w:t>
            </w:r>
            <w:r w:rsidRPr="000B6B7F">
              <w:rPr>
                <w:sz w:val="24"/>
                <w:szCs w:val="24"/>
                <w:lang w:val="uk-UA"/>
              </w:rPr>
              <w:t>)</w:t>
            </w:r>
          </w:p>
          <w:p w14:paraId="157E9906" w14:textId="77777777" w:rsidR="00D63F8E" w:rsidRPr="000B6B7F" w:rsidRDefault="00D63F8E" w:rsidP="000B6B7F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37A79939" w14:textId="138C2571" w:rsidR="00CD1FF9" w:rsidRPr="000B6B7F" w:rsidRDefault="00D63F8E" w:rsidP="000B6B7F">
            <w:pPr>
              <w:pStyle w:val="TableParagraph"/>
              <w:numPr>
                <w:ilvl w:val="0"/>
                <w:numId w:val="3"/>
              </w:numPr>
              <w:tabs>
                <w:tab w:val="left" w:pos="2895"/>
              </w:tabs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  <w:r w:rsidRPr="000B6B7F">
              <w:rPr>
                <w:sz w:val="24"/>
                <w:szCs w:val="24"/>
                <w:lang w:val="uk-UA" w:eastAsia="ru-RU"/>
              </w:rPr>
              <w:t xml:space="preserve">Вартість послуг повинна включати вартість витратних матеріалів для проведення ремонту обладнання та всі інші витрати, пов’язані із виконанням послуг ( транспортування, митне оформлення, тощо) </w:t>
            </w:r>
            <w:r w:rsidR="00CD1FF9" w:rsidRPr="000B6B7F">
              <w:rPr>
                <w:sz w:val="24"/>
                <w:szCs w:val="24"/>
                <w:lang w:val="uk-UA"/>
              </w:rPr>
              <w:t>а також накладні витрати, та усі податки та збори, що сплачуються або мають бути сплачені стосовно запропонованих послуг (</w:t>
            </w:r>
            <w:r w:rsidR="00CD1FF9" w:rsidRPr="000B6B7F">
              <w:rPr>
                <w:bCs/>
                <w:sz w:val="24"/>
                <w:szCs w:val="24"/>
                <w:lang w:val="uk-UA" w:eastAsia="uk-UA"/>
              </w:rPr>
              <w:t>надати гарантійний лист від Учасника</w:t>
            </w:r>
            <w:r w:rsidR="00CD1FF9" w:rsidRPr="000B6B7F">
              <w:rPr>
                <w:sz w:val="24"/>
                <w:szCs w:val="24"/>
                <w:lang w:val="uk-UA"/>
              </w:rPr>
              <w:t>)</w:t>
            </w:r>
          </w:p>
          <w:p w14:paraId="3D6D6515" w14:textId="77777777" w:rsidR="00D63F8E" w:rsidRPr="000B6B7F" w:rsidRDefault="00D63F8E" w:rsidP="000B6B7F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3695B40D" w14:textId="77777777" w:rsidR="00D63F8E" w:rsidRPr="000B6B7F" w:rsidRDefault="00D63F8E" w:rsidP="000B6B7F">
            <w:pPr>
              <w:pStyle w:val="TableParagraph"/>
              <w:numPr>
                <w:ilvl w:val="0"/>
                <w:numId w:val="3"/>
              </w:numPr>
              <w:tabs>
                <w:tab w:val="left" w:pos="2895"/>
              </w:tabs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  <w:r w:rsidRPr="000B6B7F">
              <w:rPr>
                <w:sz w:val="24"/>
                <w:szCs w:val="24"/>
                <w:lang w:val="uk-UA" w:eastAsia="ru-RU"/>
              </w:rPr>
              <w:t xml:space="preserve">Запасні частини, які будуть використанні при проведенні технічного обслуговування, повинні бути новими, оригінальними або сумісними з даним обладнанням </w:t>
            </w:r>
            <w:r w:rsidRPr="000B6B7F">
              <w:rPr>
                <w:sz w:val="24"/>
                <w:szCs w:val="24"/>
                <w:lang w:val="uk-UA"/>
              </w:rPr>
              <w:t>(</w:t>
            </w:r>
            <w:r w:rsidRPr="000B6B7F">
              <w:rPr>
                <w:bCs/>
                <w:sz w:val="24"/>
                <w:szCs w:val="24"/>
                <w:lang w:val="uk-UA" w:eastAsia="uk-UA"/>
              </w:rPr>
              <w:t>надати гарантійний лист від Учасника</w:t>
            </w:r>
            <w:r w:rsidRPr="000B6B7F">
              <w:rPr>
                <w:sz w:val="24"/>
                <w:szCs w:val="24"/>
                <w:lang w:val="uk-UA"/>
              </w:rPr>
              <w:t>)</w:t>
            </w:r>
          </w:p>
          <w:p w14:paraId="78D30D43" w14:textId="77777777" w:rsidR="00D63F8E" w:rsidRPr="000B6B7F" w:rsidRDefault="00D63F8E" w:rsidP="000B6B7F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6A495777" w14:textId="77777777" w:rsidR="00D63F8E" w:rsidRPr="000B6B7F" w:rsidRDefault="00D63F8E" w:rsidP="000B6B7F">
            <w:pPr>
              <w:pStyle w:val="TableParagraph"/>
              <w:numPr>
                <w:ilvl w:val="0"/>
                <w:numId w:val="3"/>
              </w:numPr>
              <w:tabs>
                <w:tab w:val="left" w:pos="2895"/>
              </w:tabs>
              <w:jc w:val="both"/>
              <w:rPr>
                <w:color w:val="000000"/>
                <w:sz w:val="24"/>
                <w:szCs w:val="24"/>
                <w:lang w:val="uk-UA" w:eastAsia="ru-RU"/>
              </w:rPr>
            </w:pPr>
            <w:r w:rsidRPr="000B6B7F">
              <w:rPr>
                <w:sz w:val="24"/>
                <w:szCs w:val="24"/>
                <w:lang w:val="uk-UA" w:eastAsia="ru-RU"/>
              </w:rPr>
              <w:t xml:space="preserve">Гарантійний термін на встановлені запасні частини </w:t>
            </w:r>
            <w:r w:rsidRPr="000B6B7F">
              <w:rPr>
                <w:sz w:val="24"/>
                <w:szCs w:val="24"/>
                <w:lang w:val="uk-UA" w:eastAsia="ru-RU"/>
              </w:rPr>
              <w:lastRenderedPageBreak/>
              <w:t xml:space="preserve">повинен складати не менш ніж 6 місяців з дати надання послуг </w:t>
            </w:r>
            <w:r w:rsidRPr="000B6B7F">
              <w:rPr>
                <w:sz w:val="24"/>
                <w:szCs w:val="24"/>
                <w:lang w:val="uk-UA"/>
              </w:rPr>
              <w:t>(</w:t>
            </w:r>
            <w:r w:rsidRPr="000B6B7F">
              <w:rPr>
                <w:bCs/>
                <w:sz w:val="24"/>
                <w:szCs w:val="24"/>
                <w:lang w:val="uk-UA" w:eastAsia="uk-UA"/>
              </w:rPr>
              <w:t>надати гарантійний лист від Учасника</w:t>
            </w:r>
            <w:r w:rsidRPr="000B6B7F">
              <w:rPr>
                <w:sz w:val="24"/>
                <w:szCs w:val="24"/>
                <w:lang w:val="uk-UA"/>
              </w:rPr>
              <w:t xml:space="preserve"> )</w:t>
            </w:r>
          </w:p>
          <w:p w14:paraId="466991AD" w14:textId="77777777" w:rsidR="00D63F8E" w:rsidRPr="000B6B7F" w:rsidRDefault="00D63F8E" w:rsidP="000B6B7F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140D4E1C" w14:textId="0285227B" w:rsidR="00230DDD" w:rsidRPr="000B6B7F" w:rsidRDefault="00230DDD" w:rsidP="000B6B7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  <w:lang w:val="uk-UA"/>
              </w:rPr>
            </w:pPr>
            <w:r w:rsidRPr="000B6B7F">
              <w:rPr>
                <w:rFonts w:ascii="Times New Roman" w:eastAsia="Arial Unicode MS" w:hAnsi="Times New Roman"/>
                <w:sz w:val="24"/>
                <w:szCs w:val="24"/>
                <w:bdr w:val="nil"/>
                <w:lang w:val="uk-UA"/>
              </w:rPr>
              <w:t xml:space="preserve">. </w:t>
            </w:r>
          </w:p>
        </w:tc>
      </w:tr>
      <w:tr w:rsidR="00230DDD" w:rsidRPr="007E2DF9" w14:paraId="57CA9A5D" w14:textId="77777777" w:rsidTr="00D009B7">
        <w:tc>
          <w:tcPr>
            <w:tcW w:w="3260" w:type="dxa"/>
          </w:tcPr>
          <w:p w14:paraId="611702D5" w14:textId="4756461A" w:rsidR="00230DDD" w:rsidRPr="000B6B7F" w:rsidRDefault="00230DDD" w:rsidP="000B6B7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lastRenderedPageBreak/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77C644E5" w14:textId="4E34DE3A" w:rsidR="00CD1FF9" w:rsidRPr="000B6B7F" w:rsidRDefault="00CD1FF9" w:rsidP="000B6B7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Очікувана вартість виконано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0B6B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очікувана вартість дорівнює комерційний пропозиції від </w:t>
            </w:r>
            <w:r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ТОВ «Альянс-2013» - на суму 253660,00 грн. (Двісті п’ятдесят три тисячі шістсот шістдесят шість гривень 00 коп.)</w:t>
            </w:r>
            <w:r w:rsidRPr="000B6B7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0C4DF91C" w14:textId="77777777" w:rsidR="00CD1FF9" w:rsidRPr="000B6B7F" w:rsidRDefault="00CD1FF9" w:rsidP="000B6B7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14:paraId="265A5AA6" w14:textId="77777777" w:rsidR="00CD1FF9" w:rsidRPr="000B6B7F" w:rsidRDefault="00CD1FF9" w:rsidP="000B6B7F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  <w:p w14:paraId="4AD490FA" w14:textId="341E20E1" w:rsidR="00230DDD" w:rsidRPr="000B6B7F" w:rsidRDefault="00CD1FF9" w:rsidP="000B6B7F">
            <w:pPr>
              <w:pStyle w:val="a4"/>
              <w:spacing w:after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B6B7F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технічного обслуговування та ремонту ендоскопічного обладнання виробництва компанії </w:t>
            </w:r>
            <w:r w:rsidRPr="000B6B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B6B7F">
              <w:rPr>
                <w:rFonts w:ascii="Times New Roman" w:hAnsi="Times New Roman" w:cs="Times New Roman"/>
                <w:sz w:val="24"/>
                <w:szCs w:val="24"/>
              </w:rPr>
              <w:t>Olympus</w:t>
            </w:r>
            <w:proofErr w:type="spellEnd"/>
            <w:r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за кодом ДК 021:2015: 50420000-5 «Послуги з ремонту і технічного обслуговування медичного та хірургічного обладнання» -  відповідають розрахунку видатків до кошторису на 202</w:t>
            </w:r>
            <w:r w:rsidR="000B6B7F"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5</w:t>
            </w:r>
            <w:r w:rsidRPr="000B6B7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рік ДНП «Національний інститут раку».</w:t>
            </w:r>
          </w:p>
        </w:tc>
      </w:tr>
    </w:tbl>
    <w:p w14:paraId="42B91063" w14:textId="77777777" w:rsidR="00D009B7" w:rsidRPr="000B6B7F" w:rsidRDefault="00D009B7" w:rsidP="00914E9F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14:paraId="4A1DCC7D" w14:textId="1521DC32" w:rsidR="00174909" w:rsidRPr="000B6B7F" w:rsidRDefault="00D009B7" w:rsidP="00174909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B6B7F">
        <w:rPr>
          <w:rStyle w:val="a6"/>
          <w:rFonts w:ascii="Times New Roman" w:hAnsi="Times New Roman" w:cs="Times New Roman"/>
          <w:sz w:val="24"/>
          <w:szCs w:val="24"/>
        </w:rPr>
        <w:t xml:space="preserve">      </w:t>
      </w:r>
    </w:p>
    <w:p w14:paraId="27358304" w14:textId="68544F32" w:rsidR="00914E9F" w:rsidRPr="000B6B7F" w:rsidRDefault="00914E9F" w:rsidP="00914E9F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B6B7F">
        <w:rPr>
          <w:rStyle w:val="a6"/>
          <w:rFonts w:ascii="Times New Roman" w:hAnsi="Times New Roman" w:cs="Times New Roman"/>
          <w:sz w:val="24"/>
          <w:szCs w:val="24"/>
        </w:rPr>
        <w:tab/>
      </w:r>
    </w:p>
    <w:p w14:paraId="0436D152" w14:textId="3F7D9D35" w:rsidR="00CC0A2F" w:rsidRPr="000B6B7F" w:rsidRDefault="001033F5" w:rsidP="00CC0A2F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B6B7F">
        <w:rPr>
          <w:rStyle w:val="a6"/>
          <w:rFonts w:ascii="Times New Roman" w:hAnsi="Times New Roman" w:cs="Times New Roman"/>
          <w:sz w:val="24"/>
          <w:szCs w:val="24"/>
        </w:rPr>
        <w:t xml:space="preserve">       </w:t>
      </w:r>
      <w:r w:rsidR="00CC0A2F" w:rsidRPr="000B6B7F">
        <w:rPr>
          <w:rStyle w:val="a6"/>
          <w:rFonts w:ascii="Times New Roman" w:hAnsi="Times New Roman" w:cs="Times New Roman"/>
          <w:sz w:val="24"/>
          <w:szCs w:val="24"/>
        </w:rPr>
        <w:t>Виконуючого обов’язки начальника сектора обслуговування</w:t>
      </w:r>
    </w:p>
    <w:p w14:paraId="1F6618A4" w14:textId="788A1537" w:rsidR="00D009B7" w:rsidRPr="000B6B7F" w:rsidRDefault="00CC0A2F" w:rsidP="00CC0A2F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B6B7F">
        <w:rPr>
          <w:rStyle w:val="a6"/>
          <w:rFonts w:ascii="Times New Roman" w:hAnsi="Times New Roman" w:cs="Times New Roman"/>
          <w:sz w:val="24"/>
          <w:szCs w:val="24"/>
        </w:rPr>
        <w:t xml:space="preserve">       та ремонту медичного обладнання                       </w:t>
      </w:r>
      <w:r w:rsidR="001033F5" w:rsidRPr="000B6B7F">
        <w:rPr>
          <w:rStyle w:val="a6"/>
          <w:rFonts w:ascii="Times New Roman" w:hAnsi="Times New Roman" w:cs="Times New Roman"/>
          <w:sz w:val="24"/>
          <w:szCs w:val="24"/>
        </w:rPr>
        <w:t xml:space="preserve">                        </w:t>
      </w:r>
      <w:r w:rsidRPr="000B6B7F">
        <w:rPr>
          <w:rStyle w:val="a6"/>
          <w:rFonts w:ascii="Times New Roman" w:hAnsi="Times New Roman" w:cs="Times New Roman"/>
          <w:sz w:val="24"/>
          <w:szCs w:val="24"/>
        </w:rPr>
        <w:t xml:space="preserve"> ____________        Едуард ЧЕХОВСЬКИЙ</w:t>
      </w:r>
    </w:p>
    <w:p w14:paraId="4C47A2B9" w14:textId="77777777" w:rsidR="000B6B7F" w:rsidRPr="000B6B7F" w:rsidRDefault="000B6B7F" w:rsidP="00CC0A2F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14:paraId="008A3A37" w14:textId="4D54E0FA" w:rsidR="00CC0A2F" w:rsidRPr="000B6B7F" w:rsidRDefault="00CC0A2F" w:rsidP="00CC0A2F">
      <w:pPr>
        <w:pStyle w:val="a4"/>
        <w:tabs>
          <w:tab w:val="left" w:pos="1970"/>
        </w:tabs>
        <w:spacing w:after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0B6B7F">
        <w:rPr>
          <w:rStyle w:val="a6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033F5" w:rsidRPr="000B6B7F">
        <w:rPr>
          <w:rStyle w:val="a6"/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B6B7F">
        <w:rPr>
          <w:rStyle w:val="a6"/>
          <w:rFonts w:ascii="Times New Roman" w:hAnsi="Times New Roman" w:cs="Times New Roman"/>
          <w:sz w:val="24"/>
          <w:szCs w:val="24"/>
        </w:rPr>
        <w:t xml:space="preserve">      підпис</w:t>
      </w:r>
      <w:r w:rsidRPr="000B6B7F">
        <w:rPr>
          <w:rStyle w:val="a6"/>
          <w:rFonts w:ascii="Times New Roman" w:hAnsi="Times New Roman" w:cs="Times New Roman"/>
          <w:sz w:val="24"/>
          <w:szCs w:val="24"/>
        </w:rPr>
        <w:tab/>
      </w:r>
    </w:p>
    <w:bookmarkEnd w:id="0"/>
    <w:p w14:paraId="27EDA665" w14:textId="77777777" w:rsidR="00AF476D" w:rsidRPr="000B6B7F" w:rsidRDefault="00AF476D" w:rsidP="00CC0A2F">
      <w:pPr>
        <w:rPr>
          <w:lang w:val="uk-UA"/>
        </w:rPr>
      </w:pPr>
    </w:p>
    <w:sectPr w:rsidR="00AF476D" w:rsidRPr="000B6B7F" w:rsidSect="000E43D7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7DC2"/>
    <w:multiLevelType w:val="hybridMultilevel"/>
    <w:tmpl w:val="C41CE540"/>
    <w:lvl w:ilvl="0" w:tplc="BDA299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4A9C"/>
    <w:multiLevelType w:val="hybridMultilevel"/>
    <w:tmpl w:val="C180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C7D86"/>
    <w:multiLevelType w:val="hybridMultilevel"/>
    <w:tmpl w:val="C98C74E2"/>
    <w:lvl w:ilvl="0" w:tplc="8C18DDE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2089308539">
    <w:abstractNumId w:val="0"/>
  </w:num>
  <w:num w:numId="2" w16cid:durableId="447510517">
    <w:abstractNumId w:val="2"/>
  </w:num>
  <w:num w:numId="3" w16cid:durableId="338435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51"/>
    <w:rsid w:val="00006870"/>
    <w:rsid w:val="00086505"/>
    <w:rsid w:val="000A4085"/>
    <w:rsid w:val="000A5D56"/>
    <w:rsid w:val="000B6B7F"/>
    <w:rsid w:val="000C581E"/>
    <w:rsid w:val="000E43D7"/>
    <w:rsid w:val="001033F5"/>
    <w:rsid w:val="00174909"/>
    <w:rsid w:val="00230DDD"/>
    <w:rsid w:val="002777AA"/>
    <w:rsid w:val="00280E14"/>
    <w:rsid w:val="002F138C"/>
    <w:rsid w:val="00343BEB"/>
    <w:rsid w:val="0035409A"/>
    <w:rsid w:val="00356A51"/>
    <w:rsid w:val="003658B0"/>
    <w:rsid w:val="00390798"/>
    <w:rsid w:val="003C428B"/>
    <w:rsid w:val="00417BE8"/>
    <w:rsid w:val="00445AFA"/>
    <w:rsid w:val="00452E19"/>
    <w:rsid w:val="00457A12"/>
    <w:rsid w:val="004D5486"/>
    <w:rsid w:val="004F6982"/>
    <w:rsid w:val="00510C5E"/>
    <w:rsid w:val="00534BF6"/>
    <w:rsid w:val="0057678E"/>
    <w:rsid w:val="005F0712"/>
    <w:rsid w:val="00605ED8"/>
    <w:rsid w:val="00620617"/>
    <w:rsid w:val="00657CFF"/>
    <w:rsid w:val="00676A28"/>
    <w:rsid w:val="006B2E08"/>
    <w:rsid w:val="006C5A9C"/>
    <w:rsid w:val="00722DAE"/>
    <w:rsid w:val="0078441A"/>
    <w:rsid w:val="007E2DF9"/>
    <w:rsid w:val="00821C8F"/>
    <w:rsid w:val="008318BA"/>
    <w:rsid w:val="00883F48"/>
    <w:rsid w:val="008C302D"/>
    <w:rsid w:val="008E4E21"/>
    <w:rsid w:val="00914E9F"/>
    <w:rsid w:val="0094236D"/>
    <w:rsid w:val="00995E60"/>
    <w:rsid w:val="009F19DA"/>
    <w:rsid w:val="00A26BD1"/>
    <w:rsid w:val="00A32BDD"/>
    <w:rsid w:val="00A916DA"/>
    <w:rsid w:val="00A965D3"/>
    <w:rsid w:val="00AF476D"/>
    <w:rsid w:val="00B2147B"/>
    <w:rsid w:val="00B8660E"/>
    <w:rsid w:val="00BB4154"/>
    <w:rsid w:val="00C269CC"/>
    <w:rsid w:val="00C6206E"/>
    <w:rsid w:val="00CC0A2F"/>
    <w:rsid w:val="00CD1FF9"/>
    <w:rsid w:val="00D009B7"/>
    <w:rsid w:val="00D30ADC"/>
    <w:rsid w:val="00D40441"/>
    <w:rsid w:val="00D541E6"/>
    <w:rsid w:val="00D63F8E"/>
    <w:rsid w:val="00D70695"/>
    <w:rsid w:val="00DC7CCA"/>
    <w:rsid w:val="00F32684"/>
    <w:rsid w:val="00F532BF"/>
    <w:rsid w:val="00F81534"/>
    <w:rsid w:val="00F92C82"/>
    <w:rsid w:val="00FB578D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07137"/>
  <w15:chartTrackingRefBased/>
  <w15:docId w15:val="{939B9E49-106D-4803-8EC5-152B0FE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F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A51"/>
    <w:rPr>
      <w:u w:val="single"/>
    </w:rPr>
  </w:style>
  <w:style w:type="paragraph" w:styleId="a4">
    <w:name w:val="Body Text"/>
    <w:link w:val="a5"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ий текст Знак"/>
    <w:basedOn w:val="a0"/>
    <w:link w:val="a4"/>
    <w:rsid w:val="00356A51"/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має"/>
    <w:rsid w:val="00356A51"/>
  </w:style>
  <w:style w:type="paragraph" w:styleId="a7">
    <w:name w:val="No Spacing"/>
    <w:uiPriority w:val="1"/>
    <w:qFormat/>
    <w:rsid w:val="00356A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56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6206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6206E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ab">
    <w:name w:val="Table Grid"/>
    <w:basedOn w:val="a1"/>
    <w:uiPriority w:val="39"/>
    <w:rsid w:val="0082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aliases w:val="Number Bullets,AC List 01"/>
    <w:basedOn w:val="a"/>
    <w:link w:val="ad"/>
    <w:uiPriority w:val="99"/>
    <w:qFormat/>
    <w:rsid w:val="00D30A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ru-RU"/>
    </w:rPr>
  </w:style>
  <w:style w:type="character" w:customStyle="1" w:styleId="ad">
    <w:name w:val="Абзац списку Знак"/>
    <w:aliases w:val="Number Bullets Знак,AC List 01 Знак"/>
    <w:link w:val="ac"/>
    <w:uiPriority w:val="99"/>
    <w:locked/>
    <w:rsid w:val="00D30ADC"/>
    <w:rPr>
      <w:rFonts w:ascii="Calibri" w:eastAsia="Calibri" w:hAnsi="Calibri" w:cs="Times New Roman"/>
      <w:lang w:val="ru-RU"/>
    </w:rPr>
  </w:style>
  <w:style w:type="character" w:customStyle="1" w:styleId="5">
    <w:name w:val="Основной текст (5)_"/>
    <w:link w:val="50"/>
    <w:semiHidden/>
    <w:locked/>
    <w:rsid w:val="00995E60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rsid w:val="00995E6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60" w:line="0" w:lineRule="atLeast"/>
      <w:jc w:val="center"/>
    </w:pPr>
    <w:rPr>
      <w:rFonts w:ascii="Garamond" w:eastAsia="Garamond" w:hAnsi="Garamond" w:cs="Garamond"/>
      <w:b/>
      <w:bCs/>
      <w:sz w:val="22"/>
      <w:szCs w:val="22"/>
      <w:bdr w:val="none" w:sz="0" w:space="0" w:color="auto"/>
      <w:lang w:val="uk-UA"/>
    </w:rPr>
  </w:style>
  <w:style w:type="paragraph" w:customStyle="1" w:styleId="TableParagraph">
    <w:name w:val="Table Paragraph"/>
    <w:basedOn w:val="a"/>
    <w:uiPriority w:val="1"/>
    <w:semiHidden/>
    <w:qFormat/>
    <w:rsid w:val="00995E6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75" w:lineRule="exact"/>
      <w:jc w:val="center"/>
    </w:pPr>
    <w:rPr>
      <w:rFonts w:eastAsia="Times New Roman"/>
      <w:sz w:val="22"/>
      <w:szCs w:val="22"/>
      <w:bdr w:val="none" w:sz="0" w:space="0" w:color="auto"/>
    </w:rPr>
  </w:style>
  <w:style w:type="character" w:styleId="ae">
    <w:name w:val="Unresolved Mention"/>
    <w:basedOn w:val="a0"/>
    <w:uiPriority w:val="99"/>
    <w:semiHidden/>
    <w:unhideWhenUsed/>
    <w:rsid w:val="007E2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05-21-011491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4B8D4-EA30-4A0B-BFE9-FA2DC952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2423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Баннікова</dc:creator>
  <cp:keywords/>
  <dc:description/>
  <cp:lastModifiedBy>Едуард Оскольський</cp:lastModifiedBy>
  <cp:revision>3</cp:revision>
  <cp:lastPrinted>2024-02-05T07:09:00Z</cp:lastPrinted>
  <dcterms:created xsi:type="dcterms:W3CDTF">2025-03-10T14:38:00Z</dcterms:created>
  <dcterms:modified xsi:type="dcterms:W3CDTF">2025-05-27T05:50:00Z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41e1826a76ffbc8aeeb3f2dd6ae276a4f88f157ce70b6e6e9df426223d39fcda</vt:lpwstr>
  </property>
</Properties>
</file>